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FE" w:rsidRPr="001B5460" w:rsidRDefault="00FE33FE" w:rsidP="000E5132">
      <w:pPr>
        <w:spacing w:before="120"/>
        <w:rPr>
          <w:b/>
          <w:bCs/>
          <w:sz w:val="22"/>
          <w:szCs w:val="22"/>
        </w:rPr>
      </w:pPr>
      <w:r w:rsidRPr="001B5460">
        <w:rPr>
          <w:b/>
          <w:bCs/>
          <w:sz w:val="22"/>
          <w:szCs w:val="22"/>
        </w:rPr>
        <w:t xml:space="preserve">Committee </w:t>
      </w:r>
      <w:r w:rsidR="000E5132" w:rsidRPr="001B5460">
        <w:rPr>
          <w:b/>
          <w:bCs/>
          <w:sz w:val="22"/>
          <w:szCs w:val="22"/>
        </w:rPr>
        <w:t>against Torture</w:t>
      </w:r>
      <w:r w:rsidRPr="001B5460">
        <w:rPr>
          <w:b/>
          <w:bCs/>
          <w:sz w:val="22"/>
          <w:szCs w:val="22"/>
        </w:rPr>
        <w:t xml:space="preserve"> </w:t>
      </w:r>
    </w:p>
    <w:p w:rsidR="00FE33FE" w:rsidRPr="001B5460" w:rsidRDefault="000E5132" w:rsidP="00FE33FE">
      <w:pPr>
        <w:pStyle w:val="Default"/>
        <w:rPr>
          <w:b/>
          <w:bCs/>
          <w:sz w:val="22"/>
          <w:szCs w:val="22"/>
        </w:rPr>
      </w:pPr>
      <w:r w:rsidRPr="001B5460">
        <w:rPr>
          <w:b/>
          <w:bCs/>
          <w:sz w:val="22"/>
          <w:szCs w:val="22"/>
        </w:rPr>
        <w:t>Forty-sixth</w:t>
      </w:r>
      <w:r w:rsidR="00FE33FE" w:rsidRPr="001B5460">
        <w:rPr>
          <w:b/>
          <w:bCs/>
          <w:sz w:val="22"/>
          <w:szCs w:val="22"/>
        </w:rPr>
        <w:t xml:space="preserve"> session </w:t>
      </w:r>
    </w:p>
    <w:p w:rsidR="00FE33FE" w:rsidRDefault="000E5132" w:rsidP="00FE33FE">
      <w:pPr>
        <w:pStyle w:val="Default"/>
        <w:rPr>
          <w:sz w:val="22"/>
          <w:szCs w:val="22"/>
        </w:rPr>
      </w:pPr>
      <w:r w:rsidRPr="001B5460">
        <w:rPr>
          <w:sz w:val="22"/>
          <w:szCs w:val="22"/>
        </w:rPr>
        <w:t xml:space="preserve">9 May-3 June </w:t>
      </w:r>
      <w:r w:rsidR="00FE33FE" w:rsidRPr="001B5460">
        <w:rPr>
          <w:sz w:val="22"/>
          <w:szCs w:val="22"/>
        </w:rPr>
        <w:t>2011</w:t>
      </w:r>
    </w:p>
    <w:p w:rsidR="00FE33FE" w:rsidRDefault="00FE33FE" w:rsidP="00FF074D">
      <w:pPr>
        <w:pStyle w:val="HChG"/>
        <w:spacing w:line="240" w:lineRule="auto"/>
        <w:rPr>
          <w:bCs/>
          <w:sz w:val="22"/>
          <w:szCs w:val="22"/>
          <w:lang w:val="en-US"/>
        </w:rPr>
      </w:pPr>
      <w:r w:rsidRPr="001B5460">
        <w:rPr>
          <w:sz w:val="22"/>
          <w:szCs w:val="22"/>
          <w:lang w:val="en-US"/>
        </w:rPr>
        <w:tab/>
      </w:r>
      <w:r w:rsidRPr="001B5460">
        <w:rPr>
          <w:sz w:val="22"/>
          <w:szCs w:val="22"/>
          <w:lang w:val="en-US"/>
        </w:rPr>
        <w:tab/>
      </w:r>
      <w:r w:rsidRPr="001D0636">
        <w:rPr>
          <w:sz w:val="22"/>
          <w:szCs w:val="22"/>
          <w:lang w:val="en-US"/>
        </w:rPr>
        <w:t xml:space="preserve">Consideration of reports submitted by States parties </w:t>
      </w:r>
      <w:r w:rsidRPr="001D0636">
        <w:rPr>
          <w:bCs/>
          <w:sz w:val="22"/>
          <w:szCs w:val="22"/>
          <w:lang w:val="en-US"/>
        </w:rPr>
        <w:t xml:space="preserve">under article </w:t>
      </w:r>
      <w:r w:rsidR="00AF0FBA" w:rsidRPr="001D0636">
        <w:rPr>
          <w:bCs/>
          <w:sz w:val="22"/>
          <w:szCs w:val="22"/>
          <w:lang w:val="en-US"/>
        </w:rPr>
        <w:t>1</w:t>
      </w:r>
      <w:r w:rsidR="00817E45" w:rsidRPr="001D0636">
        <w:rPr>
          <w:bCs/>
          <w:sz w:val="22"/>
          <w:szCs w:val="22"/>
          <w:lang w:val="en-US"/>
        </w:rPr>
        <w:t>9 of the C</w:t>
      </w:r>
      <w:r w:rsidRPr="001D0636">
        <w:rPr>
          <w:bCs/>
          <w:sz w:val="22"/>
          <w:szCs w:val="22"/>
          <w:lang w:val="en-US"/>
        </w:rPr>
        <w:t xml:space="preserve">onvention </w:t>
      </w:r>
    </w:p>
    <w:p w:rsidR="00DF2C8A" w:rsidRPr="00DF2C8A" w:rsidRDefault="00DF2C8A" w:rsidP="00DF2C8A">
      <w:pPr>
        <w:pStyle w:val="HChG"/>
        <w:rPr>
          <w:bCs/>
        </w:rPr>
      </w:pPr>
      <w:r w:rsidRPr="00DF2C8A">
        <w:rPr>
          <w:lang w:val="en-US"/>
        </w:rPr>
        <w:tab/>
      </w:r>
      <w:r w:rsidRPr="00DF2C8A">
        <w:rPr>
          <w:lang w:val="en-US"/>
        </w:rPr>
        <w:tab/>
      </w:r>
      <w:r w:rsidRPr="00DF2C8A">
        <w:rPr>
          <w:bCs/>
        </w:rPr>
        <w:t>ADVANCED UNEDITED VERSION</w:t>
      </w:r>
    </w:p>
    <w:p w:rsidR="00FE33FE" w:rsidRPr="001D0636" w:rsidRDefault="00FE33FE" w:rsidP="00FF074D">
      <w:pPr>
        <w:pStyle w:val="H1G"/>
        <w:spacing w:line="240" w:lineRule="auto"/>
        <w:rPr>
          <w:sz w:val="22"/>
          <w:szCs w:val="22"/>
        </w:rPr>
      </w:pPr>
      <w:r w:rsidRPr="001D0636">
        <w:rPr>
          <w:sz w:val="22"/>
          <w:szCs w:val="22"/>
        </w:rPr>
        <w:tab/>
      </w:r>
      <w:r w:rsidRPr="001D0636">
        <w:rPr>
          <w:sz w:val="22"/>
          <w:szCs w:val="22"/>
        </w:rPr>
        <w:tab/>
        <w:t xml:space="preserve">Concluding observations of the Committee </w:t>
      </w:r>
      <w:r w:rsidR="00AF0FBA" w:rsidRPr="001D0636">
        <w:rPr>
          <w:sz w:val="22"/>
          <w:szCs w:val="22"/>
        </w:rPr>
        <w:t>against Torture</w:t>
      </w:r>
      <w:r w:rsidRPr="001D0636">
        <w:rPr>
          <w:sz w:val="22"/>
          <w:szCs w:val="22"/>
        </w:rPr>
        <w:t xml:space="preserve"> </w:t>
      </w:r>
    </w:p>
    <w:p w:rsidR="00236865" w:rsidRPr="001D0636" w:rsidRDefault="00236865" w:rsidP="00FF074D">
      <w:pPr>
        <w:pStyle w:val="HChG"/>
        <w:spacing w:line="240" w:lineRule="auto"/>
        <w:rPr>
          <w:bCs/>
          <w:sz w:val="22"/>
          <w:szCs w:val="22"/>
        </w:rPr>
      </w:pPr>
      <w:r w:rsidRPr="001D0636">
        <w:rPr>
          <w:sz w:val="22"/>
          <w:szCs w:val="22"/>
        </w:rPr>
        <w:tab/>
      </w:r>
      <w:r w:rsidRPr="001D0636">
        <w:rPr>
          <w:sz w:val="22"/>
          <w:szCs w:val="22"/>
        </w:rPr>
        <w:tab/>
      </w:r>
      <w:smartTag w:uri="urn:schemas-microsoft-com:office:smarttags" w:element="place">
        <w:smartTag w:uri="urn:schemas-microsoft-com:office:smarttags" w:element="country-region">
          <w:r w:rsidRPr="001D0636">
            <w:rPr>
              <w:sz w:val="22"/>
              <w:szCs w:val="22"/>
            </w:rPr>
            <w:t>Ireland</w:t>
          </w:r>
        </w:smartTag>
      </w:smartTag>
    </w:p>
    <w:p w:rsidR="00236865" w:rsidRPr="001D0636" w:rsidRDefault="00236865" w:rsidP="00D14C5D">
      <w:pPr>
        <w:pStyle w:val="SingleTxtG"/>
        <w:rPr>
          <w:snapToGrid w:val="0"/>
        </w:rPr>
      </w:pPr>
      <w:r w:rsidRPr="001D0636">
        <w:t>1.</w:t>
      </w:r>
      <w:r w:rsidRPr="001D0636">
        <w:tab/>
        <w:t xml:space="preserve">The Committee </w:t>
      </w:r>
      <w:r w:rsidR="00AF0FBA" w:rsidRPr="001D0636">
        <w:t xml:space="preserve">against Torture </w:t>
      </w:r>
      <w:r w:rsidRPr="001D0636">
        <w:t xml:space="preserve">considered the </w:t>
      </w:r>
      <w:r w:rsidR="00AF0FBA" w:rsidRPr="001D0636">
        <w:t xml:space="preserve">initial </w:t>
      </w:r>
      <w:r w:rsidRPr="001D0636">
        <w:t xml:space="preserve">report of </w:t>
      </w:r>
      <w:smartTag w:uri="urn:schemas-microsoft-com:office:smarttags" w:element="country-region">
        <w:smartTag w:uri="urn:schemas-microsoft-com:office:smarttags" w:element="place">
          <w:r w:rsidRPr="001D0636">
            <w:t>Ireland</w:t>
          </w:r>
        </w:smartTag>
      </w:smartTag>
      <w:r w:rsidR="00AF0FBA" w:rsidRPr="001D0636">
        <w:t xml:space="preserve"> </w:t>
      </w:r>
      <w:r w:rsidRPr="001D0636">
        <w:t>(C</w:t>
      </w:r>
      <w:r w:rsidR="00AF0FBA" w:rsidRPr="001D0636">
        <w:t>AT</w:t>
      </w:r>
      <w:r w:rsidRPr="001D0636">
        <w:t>/C/IR</w:t>
      </w:r>
      <w:r w:rsidR="00AF0FBA" w:rsidRPr="001D0636">
        <w:t>L/1</w:t>
      </w:r>
      <w:r w:rsidRPr="001D0636">
        <w:t xml:space="preserve">), at its </w:t>
      </w:r>
      <w:r w:rsidR="00AF0FBA" w:rsidRPr="001D0636">
        <w:t>1002</w:t>
      </w:r>
      <w:r w:rsidR="00AF0FBA" w:rsidRPr="001D0636">
        <w:rPr>
          <w:vertAlign w:val="superscript"/>
        </w:rPr>
        <w:t>nd</w:t>
      </w:r>
      <w:r w:rsidR="00AF0FBA" w:rsidRPr="001D0636">
        <w:t xml:space="preserve"> </w:t>
      </w:r>
      <w:r w:rsidRPr="001D0636">
        <w:t xml:space="preserve">and </w:t>
      </w:r>
      <w:r w:rsidR="00AF0FBA" w:rsidRPr="001D0636">
        <w:t>1005</w:t>
      </w:r>
      <w:r w:rsidRPr="001D0636">
        <w:rPr>
          <w:vertAlign w:val="superscript"/>
        </w:rPr>
        <w:t>th</w:t>
      </w:r>
      <w:r w:rsidRPr="001D0636">
        <w:t xml:space="preserve"> meetings (C</w:t>
      </w:r>
      <w:r w:rsidR="00AF0FBA" w:rsidRPr="001D0636">
        <w:t>AT</w:t>
      </w:r>
      <w:r w:rsidRPr="001D0636">
        <w:t>/C/SR.</w:t>
      </w:r>
      <w:r w:rsidR="00AF0FBA" w:rsidRPr="001D0636">
        <w:t>1002</w:t>
      </w:r>
      <w:r w:rsidRPr="001D0636">
        <w:t xml:space="preserve"> and </w:t>
      </w:r>
      <w:r w:rsidR="00AF0FBA" w:rsidRPr="001D0636">
        <w:t>1005</w:t>
      </w:r>
      <w:r w:rsidRPr="001D0636">
        <w:t>), held on 2</w:t>
      </w:r>
      <w:r w:rsidR="00AF0FBA" w:rsidRPr="001D0636">
        <w:t>3</w:t>
      </w:r>
      <w:r w:rsidRPr="001D0636">
        <w:t xml:space="preserve"> and 2</w:t>
      </w:r>
      <w:r w:rsidR="00AF0FBA" w:rsidRPr="001D0636">
        <w:t>4</w:t>
      </w:r>
      <w:r w:rsidRPr="001D0636">
        <w:t xml:space="preserve"> </w:t>
      </w:r>
      <w:r w:rsidR="00AF0FBA" w:rsidRPr="001D0636">
        <w:t xml:space="preserve">May </w:t>
      </w:r>
      <w:r w:rsidR="00377752">
        <w:t>2011</w:t>
      </w:r>
      <w:r w:rsidRPr="001D0636">
        <w:t>. At its</w:t>
      </w:r>
      <w:r w:rsidR="00F44DFE">
        <w:t xml:space="preserve"> 1016</w:t>
      </w:r>
      <w:r w:rsidRPr="001D0636">
        <w:rPr>
          <w:vertAlign w:val="superscript"/>
        </w:rPr>
        <w:t>th</w:t>
      </w:r>
      <w:r w:rsidRPr="001D0636">
        <w:t xml:space="preserve"> meeting (</w:t>
      </w:r>
      <w:r w:rsidR="00745FE1" w:rsidRPr="001D0636">
        <w:t>CAT</w:t>
      </w:r>
      <w:r w:rsidRPr="001D0636">
        <w:t>/C/SR</w:t>
      </w:r>
      <w:r w:rsidR="00316B1C">
        <w:t>.</w:t>
      </w:r>
      <w:r w:rsidR="00F44DFE">
        <w:t>1016</w:t>
      </w:r>
      <w:r w:rsidRPr="001D0636">
        <w:t>), held on </w:t>
      </w:r>
      <w:r w:rsidR="00F44DFE">
        <w:t xml:space="preserve">1 </w:t>
      </w:r>
      <w:r w:rsidR="00214025">
        <w:t xml:space="preserve">June </w:t>
      </w:r>
      <w:r w:rsidR="00214025" w:rsidRPr="001D0636">
        <w:t>2011</w:t>
      </w:r>
      <w:r w:rsidRPr="001D0636">
        <w:t>, it adopted the following concluding observations.</w:t>
      </w:r>
    </w:p>
    <w:p w:rsidR="00236865" w:rsidRPr="001D0636" w:rsidRDefault="008F4CAE" w:rsidP="008F4CAE">
      <w:pPr>
        <w:pStyle w:val="H1G"/>
        <w:spacing w:line="240" w:lineRule="auto"/>
        <w:rPr>
          <w:sz w:val="22"/>
          <w:szCs w:val="22"/>
        </w:rPr>
      </w:pPr>
      <w:r>
        <w:rPr>
          <w:sz w:val="22"/>
          <w:szCs w:val="22"/>
        </w:rPr>
        <w:tab/>
        <w:t>A</w:t>
      </w:r>
      <w:r w:rsidR="00236865" w:rsidRPr="001D0636">
        <w:rPr>
          <w:sz w:val="22"/>
          <w:szCs w:val="22"/>
        </w:rPr>
        <w:tab/>
        <w:t>Introduction</w:t>
      </w:r>
    </w:p>
    <w:p w:rsidR="004A7C71" w:rsidRPr="001D0636" w:rsidRDefault="00236865" w:rsidP="006E376E">
      <w:pPr>
        <w:pStyle w:val="SingleTxtG"/>
      </w:pPr>
      <w:r w:rsidRPr="001D0636">
        <w:t>2.</w:t>
      </w:r>
      <w:r w:rsidRPr="001D0636">
        <w:tab/>
        <w:t xml:space="preserve">The Committee welcomes the </w:t>
      </w:r>
      <w:r w:rsidR="00745FE1" w:rsidRPr="001D0636">
        <w:t xml:space="preserve">submission of the initial </w:t>
      </w:r>
      <w:r w:rsidRPr="001D0636">
        <w:t xml:space="preserve">report by the State party </w:t>
      </w:r>
      <w:r w:rsidR="006E376E">
        <w:t xml:space="preserve">but regrets that it was submitted after </w:t>
      </w:r>
      <w:r w:rsidR="004A7C71" w:rsidRPr="001D0636">
        <w:t xml:space="preserve">a </w:t>
      </w:r>
      <w:r w:rsidR="00745FE1" w:rsidRPr="001D0636">
        <w:t>delay</w:t>
      </w:r>
      <w:r w:rsidR="004A7C71" w:rsidRPr="001D0636">
        <w:t xml:space="preserve"> of </w:t>
      </w:r>
      <w:r w:rsidR="00214025" w:rsidRPr="001D0636">
        <w:t xml:space="preserve">eight </w:t>
      </w:r>
      <w:r w:rsidR="00214025">
        <w:t>years</w:t>
      </w:r>
      <w:r w:rsidR="003C6126" w:rsidRPr="001D0636">
        <w:t>,</w:t>
      </w:r>
      <w:r w:rsidR="004A7C71" w:rsidRPr="001D0636">
        <w:t xml:space="preserve"> which has prevented the Committee from monitoring the implementation of the Convention in the State party</w:t>
      </w:r>
      <w:r w:rsidR="00745FE1" w:rsidRPr="001D0636">
        <w:t xml:space="preserve">. </w:t>
      </w:r>
      <w:r w:rsidR="004A7C71" w:rsidRPr="001D0636">
        <w:t xml:space="preserve">The Committee also notes that the State party report generally followed the </w:t>
      </w:r>
      <w:r w:rsidR="003C6126" w:rsidRPr="001D0636">
        <w:t>g</w:t>
      </w:r>
      <w:r w:rsidR="004A7C71" w:rsidRPr="001D0636">
        <w:t>uidelines but that it lacked specific information on the implementation of the Convention.</w:t>
      </w:r>
      <w:r w:rsidR="00913B02" w:rsidRPr="001D0636">
        <w:t xml:space="preserve"> </w:t>
      </w:r>
    </w:p>
    <w:p w:rsidR="00745FE1" w:rsidRPr="001D0636" w:rsidRDefault="004A7C71" w:rsidP="008F4CAE">
      <w:pPr>
        <w:pStyle w:val="SingleTxtG"/>
        <w:rPr>
          <w:rFonts w:eastAsia="SimSun"/>
          <w:lang w:val="en-US" w:eastAsia="zh-CN"/>
        </w:rPr>
      </w:pPr>
      <w:r w:rsidRPr="001D0636">
        <w:t>3.</w:t>
      </w:r>
      <w:r w:rsidRPr="001D0636">
        <w:tab/>
      </w:r>
      <w:r w:rsidR="00745FE1" w:rsidRPr="001D0636">
        <w:rPr>
          <w:rFonts w:eastAsia="SimSun"/>
          <w:lang w:val="en-US" w:eastAsia="zh-CN"/>
        </w:rPr>
        <w:t>The Committee notes with appreciation that a high-level delegation from the State party met with the Committee during its forty-sixth session, and also notes with appreciation the opportunity to engage in a constructive dialogue covering many areas under the Convention.</w:t>
      </w:r>
      <w:r w:rsidRPr="001D0636">
        <w:rPr>
          <w:rFonts w:eastAsia="SimSun"/>
          <w:lang w:val="en-US" w:eastAsia="zh-CN"/>
        </w:rPr>
        <w:t xml:space="preserve"> The Committee also </w:t>
      </w:r>
      <w:r w:rsidR="000E4EEB" w:rsidRPr="001D0636">
        <w:rPr>
          <w:rFonts w:eastAsia="SimSun"/>
          <w:lang w:val="en-US" w:eastAsia="zh-CN"/>
        </w:rPr>
        <w:t xml:space="preserve">commends the State party for </w:t>
      </w:r>
      <w:r w:rsidRPr="001D0636">
        <w:rPr>
          <w:rFonts w:eastAsia="SimSun"/>
          <w:lang w:val="en-US" w:eastAsia="zh-CN"/>
        </w:rPr>
        <w:t xml:space="preserve">the detailed written replies that </w:t>
      </w:r>
      <w:r w:rsidR="000E4EEB" w:rsidRPr="001D0636">
        <w:rPr>
          <w:rFonts w:eastAsia="SimSun"/>
          <w:lang w:val="en-US" w:eastAsia="zh-CN"/>
        </w:rPr>
        <w:t>it</w:t>
      </w:r>
      <w:r w:rsidRPr="001D0636">
        <w:rPr>
          <w:rFonts w:eastAsia="SimSun"/>
          <w:lang w:val="en-US" w:eastAsia="zh-CN"/>
        </w:rPr>
        <w:t xml:space="preserve"> provided during the consideration of the State party report.</w:t>
      </w:r>
    </w:p>
    <w:p w:rsidR="00236865" w:rsidRPr="001D0636" w:rsidRDefault="008F4CAE" w:rsidP="00FF074D">
      <w:pPr>
        <w:pStyle w:val="H1G"/>
        <w:spacing w:line="240" w:lineRule="auto"/>
        <w:rPr>
          <w:sz w:val="22"/>
          <w:szCs w:val="22"/>
        </w:rPr>
      </w:pPr>
      <w:r>
        <w:rPr>
          <w:sz w:val="22"/>
          <w:szCs w:val="22"/>
        </w:rPr>
        <w:tab/>
        <w:t>B</w:t>
      </w:r>
      <w:r w:rsidR="00236865" w:rsidRPr="001D0636">
        <w:rPr>
          <w:sz w:val="22"/>
          <w:szCs w:val="22"/>
        </w:rPr>
        <w:tab/>
        <w:t xml:space="preserve"> Positive aspects</w:t>
      </w:r>
    </w:p>
    <w:p w:rsidR="001E1A3B" w:rsidRPr="001D0636" w:rsidRDefault="00FC6B25" w:rsidP="008F4CAE">
      <w:pPr>
        <w:pStyle w:val="SingleTxtG"/>
      </w:pPr>
      <w:r w:rsidRPr="001D0636">
        <w:t>4</w:t>
      </w:r>
      <w:r w:rsidR="00236865" w:rsidRPr="001D0636">
        <w:t>.</w:t>
      </w:r>
      <w:r w:rsidR="00745FE1" w:rsidRPr="001D0636">
        <w:tab/>
      </w:r>
      <w:r w:rsidR="00236865" w:rsidRPr="001D0636">
        <w:t xml:space="preserve">The Committee </w:t>
      </w:r>
      <w:r w:rsidR="001E1A3B" w:rsidRPr="001D0636">
        <w:t xml:space="preserve">welcomes the ratification by the State party of the following </w:t>
      </w:r>
      <w:r w:rsidR="001B5460" w:rsidRPr="001D0636">
        <w:t xml:space="preserve">international and regional </w:t>
      </w:r>
      <w:r w:rsidR="001E1A3B" w:rsidRPr="001D0636">
        <w:t xml:space="preserve">instruments: </w:t>
      </w:r>
    </w:p>
    <w:p w:rsidR="006E376E" w:rsidRPr="00F93EFC" w:rsidRDefault="001E1A3B" w:rsidP="00F93EFC">
      <w:pPr>
        <w:pStyle w:val="SingleTxtG"/>
        <w:ind w:left="2268" w:hanging="579"/>
      </w:pPr>
      <w:r w:rsidRPr="001D0636">
        <w:t>(a)</w:t>
      </w:r>
      <w:r w:rsidRPr="001D0636">
        <w:tab/>
      </w:r>
      <w:r w:rsidR="006E376E" w:rsidRPr="00F93EFC">
        <w:rPr>
          <w:bCs/>
        </w:rPr>
        <w:t xml:space="preserve">International Covenant on Civil and Political Rights of 1966 on </w:t>
      </w:r>
      <w:r w:rsidR="006E376E" w:rsidRPr="00F93EFC">
        <w:t>8 December 1989;</w:t>
      </w:r>
    </w:p>
    <w:p w:rsidR="006E376E" w:rsidRPr="00F93EFC" w:rsidRDefault="006E376E" w:rsidP="00F93EFC">
      <w:pPr>
        <w:pStyle w:val="SingleTxtG"/>
        <w:ind w:left="2268" w:hanging="579"/>
      </w:pPr>
      <w:r w:rsidRPr="00F93EFC">
        <w:t>(b)</w:t>
      </w:r>
      <w:r w:rsidRPr="00F93EFC">
        <w:tab/>
      </w:r>
      <w:r w:rsidRPr="00F93EFC">
        <w:rPr>
          <w:bCs/>
        </w:rPr>
        <w:t xml:space="preserve">International Convention on the Elimination of All Forms of Racial Discrimination of 1965 on </w:t>
      </w:r>
      <w:r w:rsidRPr="00F93EFC">
        <w:t>29 Dec</w:t>
      </w:r>
      <w:r w:rsidR="00C61C68" w:rsidRPr="00F93EFC">
        <w:t>ember</w:t>
      </w:r>
      <w:r w:rsidRPr="00F93EFC">
        <w:t xml:space="preserve"> 2000</w:t>
      </w:r>
      <w:r w:rsidR="00C61C68" w:rsidRPr="00F93EFC">
        <w:t>;</w:t>
      </w:r>
    </w:p>
    <w:p w:rsidR="00C61C68" w:rsidRPr="00F93EFC" w:rsidRDefault="00C61C68" w:rsidP="00F93EFC">
      <w:pPr>
        <w:pStyle w:val="SingleTxtG"/>
        <w:ind w:left="2268" w:hanging="579"/>
      </w:pPr>
      <w:r w:rsidRPr="00F93EFC">
        <w:t>(c)</w:t>
      </w:r>
      <w:r w:rsidRPr="00F93EFC">
        <w:tab/>
        <w:t>International Convention on the Rights of the Child of 1989 on 28 September 1992</w:t>
      </w:r>
      <w:r w:rsidR="00D205D4">
        <w:t>;</w:t>
      </w:r>
    </w:p>
    <w:p w:rsidR="00F93EFC" w:rsidRPr="00F93EFC" w:rsidRDefault="00F93EFC" w:rsidP="00F93EFC">
      <w:pPr>
        <w:pStyle w:val="SingleTxtG"/>
        <w:ind w:left="2268" w:hanging="567"/>
        <w:rPr>
          <w:bCs/>
        </w:rPr>
      </w:pPr>
      <w:r>
        <w:rPr>
          <w:bCs/>
        </w:rPr>
        <w:t>(d)</w:t>
      </w:r>
      <w:r>
        <w:rPr>
          <w:bCs/>
        </w:rPr>
        <w:tab/>
      </w:r>
      <w:r w:rsidRPr="00F93EFC">
        <w:rPr>
          <w:bCs/>
        </w:rPr>
        <w:t xml:space="preserve">International Convention on the Elimination of All Forms of Discrimination against Women of 1979 on </w:t>
      </w:r>
      <w:r w:rsidRPr="00F93EFC">
        <w:t>23 December 1985;</w:t>
      </w:r>
    </w:p>
    <w:p w:rsidR="001E1A3B" w:rsidRPr="00F93EFC" w:rsidRDefault="00F93EFC" w:rsidP="00F93EFC">
      <w:pPr>
        <w:pStyle w:val="SingleTxtG"/>
        <w:ind w:left="2268" w:hanging="567"/>
      </w:pPr>
      <w:r>
        <w:t>(e</w:t>
      </w:r>
      <w:r w:rsidR="00C61C68">
        <w:t>)</w:t>
      </w:r>
      <w:r w:rsidR="00C61C68">
        <w:tab/>
      </w:r>
      <w:r w:rsidR="001E1A3B" w:rsidRPr="00F93EFC">
        <w:t>T</w:t>
      </w:r>
      <w:r w:rsidR="00236865" w:rsidRPr="00F93EFC">
        <w:t>he United Nations Convention on</w:t>
      </w:r>
      <w:r w:rsidR="00C36EFE" w:rsidRPr="00F93EFC">
        <w:t xml:space="preserve"> Transnational Organised Crime of </w:t>
      </w:r>
      <w:r w:rsidR="00236865" w:rsidRPr="00F93EFC">
        <w:t>2000</w:t>
      </w:r>
      <w:r w:rsidR="00C36EFE" w:rsidRPr="00F93EFC">
        <w:t xml:space="preserve"> on 17 Jun</w:t>
      </w:r>
      <w:r w:rsidR="000703DA" w:rsidRPr="00F93EFC">
        <w:t>e</w:t>
      </w:r>
      <w:r w:rsidR="00C36EFE" w:rsidRPr="00F93EFC">
        <w:t xml:space="preserve"> 2010;</w:t>
      </w:r>
    </w:p>
    <w:p w:rsidR="00236865" w:rsidRPr="00F93EFC" w:rsidRDefault="001E1A3B" w:rsidP="00F93EFC">
      <w:pPr>
        <w:pStyle w:val="SingleTxtG"/>
        <w:ind w:left="2268" w:hanging="579"/>
      </w:pPr>
      <w:r w:rsidRPr="00F93EFC">
        <w:t>(</w:t>
      </w:r>
      <w:r w:rsidR="00F93EFC" w:rsidRPr="00F93EFC">
        <w:t>f</w:t>
      </w:r>
      <w:r w:rsidRPr="00F93EFC">
        <w:t>)</w:t>
      </w:r>
      <w:r w:rsidRPr="00F93EFC">
        <w:tab/>
        <w:t>T</w:t>
      </w:r>
      <w:r w:rsidR="00236865" w:rsidRPr="00F93EFC">
        <w:t>he Protocol to Prevent, Suppress and Punish Trafficking in Persons espe</w:t>
      </w:r>
      <w:r w:rsidR="00C36EFE" w:rsidRPr="00F93EFC">
        <w:t xml:space="preserve">cially Women and Children of </w:t>
      </w:r>
      <w:r w:rsidR="0073317C" w:rsidRPr="00F93EFC">
        <w:t>2000</w:t>
      </w:r>
      <w:r w:rsidR="00C36EFE" w:rsidRPr="00F93EFC">
        <w:t xml:space="preserve"> on 17 Jun</w:t>
      </w:r>
      <w:r w:rsidR="000703DA" w:rsidRPr="00F93EFC">
        <w:t>e</w:t>
      </w:r>
      <w:r w:rsidR="00C36EFE" w:rsidRPr="00F93EFC">
        <w:t xml:space="preserve"> 2010</w:t>
      </w:r>
      <w:r w:rsidR="0073317C" w:rsidRPr="00F93EFC">
        <w:t>;</w:t>
      </w:r>
    </w:p>
    <w:p w:rsidR="00D9415B" w:rsidRPr="00F93EFC" w:rsidRDefault="001E1A3B" w:rsidP="00F93EFC">
      <w:pPr>
        <w:pStyle w:val="SingleTxtG"/>
        <w:ind w:left="2268" w:hanging="579"/>
      </w:pPr>
      <w:r w:rsidRPr="00F93EFC">
        <w:lastRenderedPageBreak/>
        <w:t>(</w:t>
      </w:r>
      <w:r w:rsidR="00F93EFC" w:rsidRPr="00F93EFC">
        <w:t>g</w:t>
      </w:r>
      <w:r w:rsidRPr="00F93EFC">
        <w:t>)</w:t>
      </w:r>
      <w:r w:rsidRPr="00F93EFC">
        <w:tab/>
      </w:r>
      <w:r w:rsidR="00D9415B" w:rsidRPr="00F93EFC">
        <w:t>The Second Optional Protocol to the I</w:t>
      </w:r>
      <w:r w:rsidR="0073317C" w:rsidRPr="00F93EFC">
        <w:t xml:space="preserve">nternational Covenant of </w:t>
      </w:r>
      <w:r w:rsidR="00415D00" w:rsidRPr="00F93EFC">
        <w:t>Civil</w:t>
      </w:r>
      <w:r w:rsidR="0073317C" w:rsidRPr="00F93EFC">
        <w:t xml:space="preserve"> and Political Rights </w:t>
      </w:r>
      <w:r w:rsidR="00D9415B" w:rsidRPr="00F93EFC">
        <w:t>(Abolition of the death penalty)</w:t>
      </w:r>
      <w:r w:rsidR="00C36EFE" w:rsidRPr="00F93EFC">
        <w:t xml:space="preserve"> of</w:t>
      </w:r>
      <w:r w:rsidR="0073317C" w:rsidRPr="00F93EFC">
        <w:t xml:space="preserve"> 1989</w:t>
      </w:r>
      <w:r w:rsidR="00C36EFE" w:rsidRPr="00F93EFC">
        <w:t xml:space="preserve"> on 18 June 1993</w:t>
      </w:r>
      <w:r w:rsidR="0073317C" w:rsidRPr="00F93EFC">
        <w:t xml:space="preserve">; and </w:t>
      </w:r>
    </w:p>
    <w:p w:rsidR="001E1A3B" w:rsidRPr="00F93EFC" w:rsidRDefault="00D9415B" w:rsidP="00F93EFC">
      <w:pPr>
        <w:pStyle w:val="SingleTxtG"/>
        <w:ind w:left="2268" w:hanging="579"/>
      </w:pPr>
      <w:r w:rsidRPr="00F93EFC">
        <w:t>(</w:t>
      </w:r>
      <w:r w:rsidR="00F93EFC" w:rsidRPr="00F93EFC">
        <w:t>h</w:t>
      </w:r>
      <w:r w:rsidRPr="00F93EFC">
        <w:t>)</w:t>
      </w:r>
      <w:r w:rsidRPr="00F93EFC">
        <w:tab/>
      </w:r>
      <w:r w:rsidR="00C63691" w:rsidRPr="00F93EFC">
        <w:t xml:space="preserve">The </w:t>
      </w:r>
      <w:hyperlink r:id="rId7" w:history="1">
        <w:r w:rsidR="001B5460" w:rsidRPr="00F93EFC">
          <w:rPr>
            <w:rStyle w:val="Hyperlink"/>
            <w:color w:val="000000"/>
          </w:rPr>
          <w:t>Co</w:t>
        </w:r>
        <w:r w:rsidR="001B5460" w:rsidRPr="00F93EFC">
          <w:rPr>
            <w:rStyle w:val="Hyperlink"/>
            <w:color w:val="000000"/>
          </w:rPr>
          <w:t>u</w:t>
        </w:r>
        <w:r w:rsidR="001B5460" w:rsidRPr="00F93EFC">
          <w:rPr>
            <w:rStyle w:val="Hyperlink"/>
            <w:color w:val="000000"/>
          </w:rPr>
          <w:t>ncil of Europe C</w:t>
        </w:r>
        <w:r w:rsidR="001B5460" w:rsidRPr="00F93EFC">
          <w:rPr>
            <w:rStyle w:val="Hyperlink"/>
            <w:color w:val="000000"/>
          </w:rPr>
          <w:t>o</w:t>
        </w:r>
        <w:r w:rsidR="001B5460" w:rsidRPr="00F93EFC">
          <w:rPr>
            <w:rStyle w:val="Hyperlink"/>
            <w:color w:val="000000"/>
          </w:rPr>
          <w:t>nvention on Action against Trafficking in Hu</w:t>
        </w:r>
        <w:r w:rsidR="001B5460" w:rsidRPr="00F93EFC">
          <w:rPr>
            <w:rStyle w:val="Hyperlink"/>
            <w:color w:val="000000"/>
          </w:rPr>
          <w:t>m</w:t>
        </w:r>
        <w:r w:rsidR="001B5460" w:rsidRPr="00F93EFC">
          <w:rPr>
            <w:rStyle w:val="Hyperlink"/>
            <w:color w:val="000000"/>
          </w:rPr>
          <w:t>an Beings</w:t>
        </w:r>
      </w:hyperlink>
      <w:r w:rsidR="00C36EFE" w:rsidRPr="00F93EFC">
        <w:t xml:space="preserve"> of 2005 on 13 July 2010</w:t>
      </w:r>
      <w:r w:rsidR="00AA56E6" w:rsidRPr="00F93EFC">
        <w:t>.</w:t>
      </w:r>
    </w:p>
    <w:p w:rsidR="00B33B7C" w:rsidRDefault="00FC6B25" w:rsidP="008F4CAE">
      <w:pPr>
        <w:pStyle w:val="SingleTxtG"/>
      </w:pPr>
      <w:r w:rsidRPr="001D0636">
        <w:t>5</w:t>
      </w:r>
      <w:r w:rsidR="00236865" w:rsidRPr="001D0636">
        <w:t>.</w:t>
      </w:r>
      <w:r w:rsidR="00236865" w:rsidRPr="001D0636">
        <w:tab/>
      </w:r>
      <w:r w:rsidR="000810F5" w:rsidRPr="001D0636">
        <w:t xml:space="preserve">The Committee welcomes the enactment of the </w:t>
      </w:r>
      <w:r w:rsidR="00B33B7C">
        <w:t>following legislation:</w:t>
      </w:r>
    </w:p>
    <w:p w:rsidR="00B33B7C" w:rsidRDefault="00B33B7C" w:rsidP="00B33B7C">
      <w:pPr>
        <w:pStyle w:val="SingleTxtG"/>
        <w:ind w:firstLine="567"/>
      </w:pPr>
      <w:r>
        <w:t xml:space="preserve">(a) </w:t>
      </w:r>
      <w:r>
        <w:tab/>
        <w:t xml:space="preserve">The </w:t>
      </w:r>
      <w:r w:rsidR="000810F5" w:rsidRPr="001D0636">
        <w:t>Criminal Law (Human Trafficking) Act of 2008</w:t>
      </w:r>
      <w:r>
        <w:t>;</w:t>
      </w:r>
      <w:r w:rsidR="000810F5" w:rsidRPr="001D0636">
        <w:t xml:space="preserve"> </w:t>
      </w:r>
      <w:r w:rsidR="00690098">
        <w:t>and</w:t>
      </w:r>
    </w:p>
    <w:p w:rsidR="00B33B7C" w:rsidRDefault="00B33B7C" w:rsidP="00690098">
      <w:pPr>
        <w:pStyle w:val="SingleTxtG"/>
        <w:ind w:firstLine="567"/>
      </w:pPr>
      <w:r>
        <w:t>(b)</w:t>
      </w:r>
      <w:r>
        <w:tab/>
      </w:r>
      <w:r w:rsidR="00690098">
        <w:t>The International Criminal Court Act of 2006</w:t>
      </w:r>
      <w:r>
        <w:t xml:space="preserve">; </w:t>
      </w:r>
    </w:p>
    <w:p w:rsidR="008727BF" w:rsidRDefault="00B33B7C" w:rsidP="008727BF">
      <w:pPr>
        <w:pStyle w:val="SingleTxtG"/>
      </w:pPr>
      <w:r>
        <w:t>6.</w:t>
      </w:r>
      <w:r>
        <w:tab/>
        <w:t xml:space="preserve">The Committee also welcomes </w:t>
      </w:r>
      <w:r w:rsidR="000810F5" w:rsidRPr="001D0636">
        <w:t>the development of a National Action Plan to Prevent and Combat Trafficking of Human Beings, 2009-2012.</w:t>
      </w:r>
    </w:p>
    <w:p w:rsidR="00236865" w:rsidRPr="001D0636" w:rsidRDefault="00B33B7C" w:rsidP="008F4CAE">
      <w:pPr>
        <w:pStyle w:val="SingleTxtG"/>
      </w:pPr>
      <w:r>
        <w:t>7</w:t>
      </w:r>
      <w:r w:rsidR="000810F5" w:rsidRPr="001D0636">
        <w:t xml:space="preserve">. </w:t>
      </w:r>
      <w:r w:rsidR="00236865" w:rsidRPr="001D0636">
        <w:t xml:space="preserve">The Committee </w:t>
      </w:r>
      <w:r w:rsidR="00415D00" w:rsidRPr="001D0636">
        <w:t xml:space="preserve">also </w:t>
      </w:r>
      <w:r w:rsidR="00236865" w:rsidRPr="001D0636">
        <w:rPr>
          <w:snapToGrid w:val="0"/>
        </w:rPr>
        <w:t>welcomes</w:t>
      </w:r>
      <w:r w:rsidR="00236865" w:rsidRPr="001D0636">
        <w:t xml:space="preserve"> the development of the National Strategy on Domestic, Sexual and Gender-Based Violence 2010 to 2014.</w:t>
      </w:r>
    </w:p>
    <w:p w:rsidR="00236865" w:rsidRPr="001D0636" w:rsidRDefault="008F4CAE" w:rsidP="00FF074D">
      <w:pPr>
        <w:pStyle w:val="H1G"/>
        <w:spacing w:line="240" w:lineRule="auto"/>
        <w:rPr>
          <w:sz w:val="22"/>
          <w:szCs w:val="22"/>
        </w:rPr>
      </w:pPr>
      <w:r>
        <w:rPr>
          <w:sz w:val="22"/>
          <w:szCs w:val="22"/>
        </w:rPr>
        <w:tab/>
        <w:t>C</w:t>
      </w:r>
      <w:r>
        <w:rPr>
          <w:sz w:val="22"/>
          <w:szCs w:val="22"/>
        </w:rPr>
        <w:tab/>
      </w:r>
      <w:r w:rsidR="00C36EFE" w:rsidRPr="001D0636">
        <w:rPr>
          <w:sz w:val="22"/>
          <w:szCs w:val="22"/>
        </w:rPr>
        <w:t>Principal subjects of concern</w:t>
      </w:r>
      <w:r w:rsidR="00236865" w:rsidRPr="001D0636">
        <w:rPr>
          <w:sz w:val="22"/>
          <w:szCs w:val="22"/>
        </w:rPr>
        <w:t xml:space="preserve"> and recommendations</w:t>
      </w:r>
    </w:p>
    <w:p w:rsidR="00CD39E6" w:rsidRPr="001D0636" w:rsidRDefault="008F4CAE" w:rsidP="008F4CAE">
      <w:pPr>
        <w:pStyle w:val="H23G"/>
      </w:pPr>
      <w:r>
        <w:tab/>
      </w:r>
      <w:r>
        <w:tab/>
      </w:r>
      <w:r w:rsidR="00CD39E6" w:rsidRPr="001D0636">
        <w:t>Definition of torture</w:t>
      </w:r>
    </w:p>
    <w:p w:rsidR="00600D5B" w:rsidRPr="001D0636" w:rsidRDefault="001D0636" w:rsidP="00690098">
      <w:pPr>
        <w:pStyle w:val="SingleTxtG"/>
      </w:pPr>
      <w:r>
        <w:t>8</w:t>
      </w:r>
      <w:r w:rsidR="00236865" w:rsidRPr="001D0636">
        <w:t>.</w:t>
      </w:r>
      <w:r w:rsidR="00236865" w:rsidRPr="001D0636">
        <w:tab/>
      </w:r>
      <w:r w:rsidR="00600D5B" w:rsidRPr="001D0636">
        <w:t>While noting the efforts by the State party to incorporate the Convention</w:t>
      </w:r>
      <w:r w:rsidR="00C279B2" w:rsidRPr="001D0636">
        <w:t xml:space="preserve"> in</w:t>
      </w:r>
      <w:r w:rsidR="008029D6" w:rsidRPr="001D0636">
        <w:t>to</w:t>
      </w:r>
      <w:r w:rsidR="00C279B2" w:rsidRPr="001D0636">
        <w:t xml:space="preserve"> its domestic legal order</w:t>
      </w:r>
      <w:r w:rsidR="00600D5B" w:rsidRPr="001D0636">
        <w:t xml:space="preserve"> through the </w:t>
      </w:r>
      <w:r w:rsidR="00562A6E" w:rsidRPr="001D0636">
        <w:t>Criminal Justice (United Nations Convention against Torture) Act 20</w:t>
      </w:r>
      <w:r w:rsidR="009E22A0" w:rsidRPr="001D0636">
        <w:t>0</w:t>
      </w:r>
      <w:r w:rsidR="00562A6E" w:rsidRPr="001D0636">
        <w:t>0, the Committee is concerned at the</w:t>
      </w:r>
      <w:r w:rsidR="000D2A51" w:rsidRPr="001D0636">
        <w:t xml:space="preserve"> amendment of the definition of </w:t>
      </w:r>
      <w:r w:rsidR="00D340F9" w:rsidRPr="001D0636">
        <w:t>torture</w:t>
      </w:r>
      <w:r w:rsidR="000D2A51" w:rsidRPr="001D0636">
        <w:t xml:space="preserve"> by the Criminal Justice Act of 2006</w:t>
      </w:r>
      <w:r w:rsidR="00A77CC7" w:rsidRPr="001D0636">
        <w:t>,</w:t>
      </w:r>
      <w:r w:rsidR="00562A6E" w:rsidRPr="001D0636">
        <w:t xml:space="preserve"> </w:t>
      </w:r>
      <w:r w:rsidR="009D42FA">
        <w:t xml:space="preserve">which </w:t>
      </w:r>
      <w:r w:rsidR="005858F3">
        <w:t>narrows the definition by limiting torture to refer only to those acts or omissions which are related to the actions of a public official.</w:t>
      </w:r>
      <w:r w:rsidR="00D340F9" w:rsidRPr="001D0636">
        <w:t xml:space="preserve"> </w:t>
      </w:r>
      <w:r w:rsidR="00562A6E" w:rsidRPr="001D0636">
        <w:t>(article 1)</w:t>
      </w:r>
    </w:p>
    <w:p w:rsidR="00600D5B" w:rsidRPr="008F4CAE" w:rsidRDefault="00562A6E" w:rsidP="00DF2C8A">
      <w:pPr>
        <w:pStyle w:val="SingleTxtG"/>
        <w:spacing w:after="0"/>
        <w:rPr>
          <w:b/>
          <w:bCs/>
        </w:rPr>
      </w:pPr>
      <w:r w:rsidRPr="008F4CAE">
        <w:rPr>
          <w:b/>
          <w:bCs/>
        </w:rPr>
        <w:t xml:space="preserve">The </w:t>
      </w:r>
      <w:r w:rsidR="009E22A0" w:rsidRPr="008F4CAE">
        <w:rPr>
          <w:b/>
          <w:bCs/>
        </w:rPr>
        <w:t xml:space="preserve">Committee </w:t>
      </w:r>
      <w:r w:rsidR="009E3DA5" w:rsidRPr="008F4CAE">
        <w:rPr>
          <w:b/>
          <w:bCs/>
        </w:rPr>
        <w:t xml:space="preserve">recalls its General Comment No. 2 (para. 9) and </w:t>
      </w:r>
      <w:r w:rsidR="009E22A0" w:rsidRPr="008F4CAE">
        <w:rPr>
          <w:b/>
          <w:bCs/>
        </w:rPr>
        <w:t xml:space="preserve">recommends that the </w:t>
      </w:r>
      <w:r w:rsidRPr="008F4CAE">
        <w:rPr>
          <w:b/>
          <w:bCs/>
        </w:rPr>
        <w:t>State party should</w:t>
      </w:r>
      <w:r w:rsidR="00D340F9" w:rsidRPr="008F4CAE">
        <w:rPr>
          <w:b/>
          <w:bCs/>
        </w:rPr>
        <w:t xml:space="preserve"> ensure that the </w:t>
      </w:r>
      <w:r w:rsidR="001B2D74" w:rsidRPr="008F4CAE">
        <w:rPr>
          <w:b/>
          <w:bCs/>
        </w:rPr>
        <w:t xml:space="preserve">scope of the </w:t>
      </w:r>
      <w:r w:rsidR="00D340F9" w:rsidRPr="008F4CAE">
        <w:rPr>
          <w:b/>
          <w:bCs/>
        </w:rPr>
        <w:t xml:space="preserve">definition </w:t>
      </w:r>
      <w:r w:rsidR="00A77CC7" w:rsidRPr="008F4CAE">
        <w:rPr>
          <w:b/>
          <w:bCs/>
        </w:rPr>
        <w:t xml:space="preserve">of torture </w:t>
      </w:r>
      <w:r w:rsidR="00D340F9" w:rsidRPr="008F4CAE">
        <w:rPr>
          <w:b/>
          <w:bCs/>
        </w:rPr>
        <w:t>under domes</w:t>
      </w:r>
      <w:r w:rsidR="001A765B" w:rsidRPr="008F4CAE">
        <w:rPr>
          <w:b/>
          <w:bCs/>
        </w:rPr>
        <w:t>tic law should be in line with that</w:t>
      </w:r>
      <w:r w:rsidR="00D340F9" w:rsidRPr="008F4CAE">
        <w:rPr>
          <w:b/>
          <w:bCs/>
        </w:rPr>
        <w:t xml:space="preserve"> under the Convention</w:t>
      </w:r>
      <w:r w:rsidR="001B2D74" w:rsidRPr="008F4CAE">
        <w:rPr>
          <w:b/>
          <w:bCs/>
        </w:rPr>
        <w:t xml:space="preserve"> to include </w:t>
      </w:r>
      <w:r w:rsidR="00B33336">
        <w:rPr>
          <w:b/>
          <w:bCs/>
        </w:rPr>
        <w:t>a public official or other person acting in an official capacity</w:t>
      </w:r>
      <w:r w:rsidR="001B2D74" w:rsidRPr="008F4CAE">
        <w:rPr>
          <w:b/>
          <w:bCs/>
        </w:rPr>
        <w:t>.</w:t>
      </w:r>
    </w:p>
    <w:p w:rsidR="00CD39E6" w:rsidRDefault="008F4CAE" w:rsidP="005508FF">
      <w:pPr>
        <w:pStyle w:val="H23G"/>
      </w:pPr>
      <w:r>
        <w:tab/>
      </w:r>
      <w:r>
        <w:tab/>
      </w:r>
      <w:r w:rsidR="00C279B2" w:rsidRPr="001D0636">
        <w:t>Reduction of financial resources for</w:t>
      </w:r>
      <w:r w:rsidR="00CD39E6" w:rsidRPr="001D0636">
        <w:t xml:space="preserve"> human rights institutions</w:t>
      </w:r>
    </w:p>
    <w:p w:rsidR="00236865" w:rsidRPr="001D0636" w:rsidRDefault="001D0636" w:rsidP="00690098">
      <w:pPr>
        <w:pStyle w:val="SingleTxtG"/>
      </w:pPr>
      <w:r>
        <w:t>9</w:t>
      </w:r>
      <w:r w:rsidR="00600D5B" w:rsidRPr="001D0636">
        <w:t>.</w:t>
      </w:r>
      <w:r w:rsidR="00600D5B" w:rsidRPr="001D0636">
        <w:tab/>
      </w:r>
      <w:r w:rsidR="00A73033">
        <w:t>While welcoming the commitment by the State party to provide resources to human rights institutions, t</w:t>
      </w:r>
      <w:r w:rsidR="00236865" w:rsidRPr="001D0636">
        <w:t xml:space="preserve">he Committee expresses concern </w:t>
      </w:r>
      <w:r w:rsidR="004077E2">
        <w:t xml:space="preserve">at information received </w:t>
      </w:r>
      <w:r w:rsidR="00236865" w:rsidRPr="001D0636">
        <w:t xml:space="preserve">over the disproportionate budgets cuts to various human </w:t>
      </w:r>
      <w:r w:rsidR="00A73033">
        <w:t xml:space="preserve">rights </w:t>
      </w:r>
      <w:r w:rsidR="00236865" w:rsidRPr="001D0636">
        <w:t>institutions mandated to promote and monitor human rights such as th</w:t>
      </w:r>
      <w:r w:rsidR="00600D5B" w:rsidRPr="001D0636">
        <w:t>e Irish Human Rights Commission</w:t>
      </w:r>
      <w:r w:rsidR="002407D2" w:rsidRPr="001D0636">
        <w:t xml:space="preserve"> (IHRC)</w:t>
      </w:r>
      <w:r w:rsidR="00845068" w:rsidRPr="001D0636">
        <w:t xml:space="preserve"> in comparison to other public institutions</w:t>
      </w:r>
      <w:r w:rsidR="001D0A09" w:rsidRPr="001D0636">
        <w:t>.</w:t>
      </w:r>
      <w:r w:rsidR="002407D2" w:rsidRPr="001D0636">
        <w:t xml:space="preserve"> Furthermore, while </w:t>
      </w:r>
      <w:r w:rsidR="00F92CA5" w:rsidRPr="001D0636">
        <w:t>noting</w:t>
      </w:r>
      <w:r w:rsidR="002407D2" w:rsidRPr="001D0636">
        <w:t xml:space="preserve"> the decision to move the IHRC from the Department of Community, Equality and Gaeltacht Affairs to the Department of Justice, the Committee regrets that the IHRC does not have direct accountability to Parliament</w:t>
      </w:r>
      <w:r w:rsidR="008D407D" w:rsidRPr="001D0636">
        <w:t xml:space="preserve"> </w:t>
      </w:r>
      <w:r w:rsidR="00F92CA5" w:rsidRPr="001D0636">
        <w:t>and lacks</w:t>
      </w:r>
      <w:r w:rsidR="008D407D" w:rsidRPr="001D0636">
        <w:t xml:space="preserve"> financial autonomy</w:t>
      </w:r>
      <w:r w:rsidR="002407D2" w:rsidRPr="001D0636">
        <w:t>. (</w:t>
      </w:r>
      <w:r w:rsidR="00236865" w:rsidRPr="001D0636">
        <w:t>article 2)</w:t>
      </w:r>
    </w:p>
    <w:p w:rsidR="00CF45F4" w:rsidRPr="008F4CAE" w:rsidRDefault="00600D5B" w:rsidP="008F4CAE">
      <w:pPr>
        <w:pStyle w:val="SingleTxtG"/>
        <w:rPr>
          <w:b/>
          <w:bCs/>
        </w:rPr>
      </w:pPr>
      <w:r w:rsidRPr="008F4CAE">
        <w:rPr>
          <w:b/>
          <w:bCs/>
        </w:rPr>
        <w:t xml:space="preserve">The Committee recommends that the State party should ensure that the current budget cuts to human rights institutions particularly the Irish Human Rights Commission </w:t>
      </w:r>
      <w:r w:rsidR="00BD52A7" w:rsidRPr="008F4CAE">
        <w:rPr>
          <w:b/>
          <w:bCs/>
        </w:rPr>
        <w:t xml:space="preserve">do </w:t>
      </w:r>
      <w:r w:rsidRPr="008F4CAE">
        <w:rPr>
          <w:b/>
          <w:bCs/>
        </w:rPr>
        <w:t xml:space="preserve">not result in </w:t>
      </w:r>
      <w:r w:rsidR="00BD52A7" w:rsidRPr="008F4CAE">
        <w:rPr>
          <w:b/>
          <w:bCs/>
        </w:rPr>
        <w:t xml:space="preserve">the </w:t>
      </w:r>
      <w:r w:rsidRPr="008F4CAE">
        <w:rPr>
          <w:b/>
          <w:bCs/>
        </w:rPr>
        <w:t>crippling</w:t>
      </w:r>
      <w:r w:rsidR="003926BE" w:rsidRPr="008F4CAE">
        <w:rPr>
          <w:b/>
          <w:bCs/>
        </w:rPr>
        <w:t xml:space="preserve"> of</w:t>
      </w:r>
      <w:r w:rsidRPr="008F4CAE">
        <w:rPr>
          <w:b/>
          <w:bCs/>
        </w:rPr>
        <w:t xml:space="preserve"> its activities and render its mandate </w:t>
      </w:r>
      <w:r w:rsidR="00BD52A7" w:rsidRPr="008F4CAE">
        <w:rPr>
          <w:b/>
          <w:bCs/>
        </w:rPr>
        <w:t>ineffective</w:t>
      </w:r>
      <w:r w:rsidRPr="008F4CAE">
        <w:rPr>
          <w:b/>
          <w:bCs/>
        </w:rPr>
        <w:t xml:space="preserve">. </w:t>
      </w:r>
      <w:r w:rsidR="00236865" w:rsidRPr="008F4CAE">
        <w:rPr>
          <w:b/>
          <w:bCs/>
        </w:rPr>
        <w:t xml:space="preserve"> </w:t>
      </w:r>
      <w:r w:rsidRPr="008F4CAE">
        <w:rPr>
          <w:b/>
          <w:bCs/>
        </w:rPr>
        <w:t xml:space="preserve">In this regard, the State party is encouraged to strengthen its efforts in ensuring that human rights institutions continue to effectively discharge their mandates. </w:t>
      </w:r>
      <w:r w:rsidR="002407D2" w:rsidRPr="008F4CAE">
        <w:rPr>
          <w:b/>
          <w:bCs/>
        </w:rPr>
        <w:t xml:space="preserve">Furthermore, the Committee recommends that the State </w:t>
      </w:r>
      <w:r w:rsidR="00EC121C" w:rsidRPr="008F4CAE">
        <w:rPr>
          <w:b/>
          <w:bCs/>
        </w:rPr>
        <w:t xml:space="preserve">party </w:t>
      </w:r>
      <w:r w:rsidR="002407D2" w:rsidRPr="008F4CAE">
        <w:rPr>
          <w:b/>
          <w:bCs/>
        </w:rPr>
        <w:t xml:space="preserve">should strengthen the independence of the IHRC by, inter alia, </w:t>
      </w:r>
      <w:r w:rsidR="00857894" w:rsidRPr="008F4CAE">
        <w:rPr>
          <w:b/>
          <w:bCs/>
        </w:rPr>
        <w:t xml:space="preserve">ensuring </w:t>
      </w:r>
      <w:r w:rsidR="00AA26CB" w:rsidRPr="008F4CAE">
        <w:rPr>
          <w:b/>
          <w:bCs/>
        </w:rPr>
        <w:t xml:space="preserve">its </w:t>
      </w:r>
      <w:r w:rsidR="00857894" w:rsidRPr="008F4CAE">
        <w:rPr>
          <w:b/>
          <w:bCs/>
        </w:rPr>
        <w:t>direct accountability to Parliament</w:t>
      </w:r>
      <w:r w:rsidR="00F92CA5" w:rsidRPr="008F4CAE">
        <w:rPr>
          <w:b/>
          <w:bCs/>
        </w:rPr>
        <w:t xml:space="preserve"> and financial autonomy in line with the </w:t>
      </w:r>
      <w:r w:rsidR="007B0A33" w:rsidRPr="007B0A33">
        <w:rPr>
          <w:rFonts w:ascii="TimesNewRoman" w:hAnsi="TimesNewRoman" w:cs="TimesNewRoman"/>
          <w:b/>
          <w:bCs/>
        </w:rPr>
        <w:t>Principles relating to the Status of National Institutions for the Promotion and Protection of Human Rights adopted by General Assembly resolution 48/134</w:t>
      </w:r>
      <w:r w:rsidR="007B0A33" w:rsidRPr="00C52252">
        <w:rPr>
          <w:rFonts w:ascii="TimesNewRoman" w:hAnsi="TimesNewRoman" w:cs="TimesNewRoman"/>
        </w:rPr>
        <w:t xml:space="preserve"> </w:t>
      </w:r>
      <w:r w:rsidR="00726BD5">
        <w:rPr>
          <w:rFonts w:ascii="TimesNewRoman" w:hAnsi="TimesNewRoman" w:cs="TimesNewRoman"/>
          <w:b/>
          <w:bCs/>
        </w:rPr>
        <w:t>(</w:t>
      </w:r>
      <w:r w:rsidR="00F92CA5" w:rsidRPr="008F4CAE">
        <w:rPr>
          <w:b/>
          <w:bCs/>
        </w:rPr>
        <w:t>Paris Principles</w:t>
      </w:r>
      <w:r w:rsidR="00065B3F">
        <w:rPr>
          <w:b/>
          <w:bCs/>
        </w:rPr>
        <w:t>)</w:t>
      </w:r>
      <w:r w:rsidR="003C6126" w:rsidRPr="008F4CAE">
        <w:rPr>
          <w:b/>
          <w:bCs/>
        </w:rPr>
        <w:t>.</w:t>
      </w:r>
    </w:p>
    <w:p w:rsidR="00CD39E6" w:rsidRPr="00A966F7" w:rsidRDefault="008F4CAE" w:rsidP="00A966F7">
      <w:pPr>
        <w:pStyle w:val="H23G"/>
        <w:rPr>
          <w:lang w:val="en-US"/>
        </w:rPr>
      </w:pPr>
      <w:r w:rsidRPr="007B0A33">
        <w:rPr>
          <w:lang w:val="en-US"/>
        </w:rPr>
        <w:tab/>
      </w:r>
      <w:r w:rsidRPr="007B0A33">
        <w:rPr>
          <w:lang w:val="en-US"/>
        </w:rPr>
        <w:tab/>
      </w:r>
      <w:r w:rsidR="00A966F7" w:rsidRPr="00A966F7">
        <w:rPr>
          <w:lang w:val="en-US"/>
        </w:rPr>
        <w:t>Rendition flights</w:t>
      </w:r>
      <w:r w:rsidR="006C1D5D" w:rsidRPr="00A966F7">
        <w:rPr>
          <w:lang w:val="en-US"/>
        </w:rPr>
        <w:t xml:space="preserve"> </w:t>
      </w:r>
    </w:p>
    <w:p w:rsidR="00CF45F4" w:rsidRPr="001D0636" w:rsidRDefault="001D0636" w:rsidP="00690098">
      <w:pPr>
        <w:pStyle w:val="SingleTxtG"/>
        <w:rPr>
          <w:b/>
          <w:bCs/>
        </w:rPr>
      </w:pPr>
      <w:r>
        <w:t>10</w:t>
      </w:r>
      <w:r w:rsidR="00CF45F4" w:rsidRPr="001D0636">
        <w:t>.</w:t>
      </w:r>
      <w:r w:rsidR="00CF45F4" w:rsidRPr="001D0636">
        <w:tab/>
        <w:t xml:space="preserve">The Committee </w:t>
      </w:r>
      <w:r w:rsidR="00A966F7">
        <w:t>is concerned at</w:t>
      </w:r>
      <w:r w:rsidR="00A966F7" w:rsidRPr="001D0636">
        <w:t xml:space="preserve"> </w:t>
      </w:r>
      <w:r w:rsidR="00CF45F4" w:rsidRPr="001D0636">
        <w:t xml:space="preserve">the various reports </w:t>
      </w:r>
      <w:r w:rsidR="000C34EB" w:rsidRPr="001D0636">
        <w:t xml:space="preserve">of the State party’s </w:t>
      </w:r>
      <w:r w:rsidR="00904F50" w:rsidRPr="001D0636">
        <w:t>alleged cooperation in a “</w:t>
      </w:r>
      <w:r w:rsidR="00CF45F4" w:rsidRPr="001D0636">
        <w:t xml:space="preserve">rendition </w:t>
      </w:r>
      <w:r w:rsidR="00904F50" w:rsidRPr="001D0636">
        <w:t>programme</w:t>
      </w:r>
      <w:r w:rsidR="000C34EB" w:rsidRPr="001D0636">
        <w:t xml:space="preserve">”, </w:t>
      </w:r>
      <w:r w:rsidR="00904F50" w:rsidRPr="001D0636">
        <w:t xml:space="preserve">where “rendition </w:t>
      </w:r>
      <w:r w:rsidR="000C34EB" w:rsidRPr="001D0636">
        <w:t>flights</w:t>
      </w:r>
      <w:r w:rsidR="00904F50" w:rsidRPr="001D0636">
        <w:t>”</w:t>
      </w:r>
      <w:r w:rsidR="000C34EB" w:rsidRPr="001D0636">
        <w:t xml:space="preserve"> </w:t>
      </w:r>
      <w:r w:rsidR="00EC121C" w:rsidRPr="001D0636">
        <w:t xml:space="preserve">use the State party’s </w:t>
      </w:r>
      <w:r w:rsidR="00EC121C" w:rsidRPr="001D0636">
        <w:lastRenderedPageBreak/>
        <w:t>airports and airspace</w:t>
      </w:r>
      <w:r w:rsidR="00904F50" w:rsidRPr="001D0636">
        <w:t>. The Committee</w:t>
      </w:r>
      <w:r w:rsidR="00A966F7">
        <w:t xml:space="preserve"> is also concerned at</w:t>
      </w:r>
      <w:r w:rsidR="00904F50" w:rsidRPr="001D0636">
        <w:t xml:space="preserve"> the </w:t>
      </w:r>
      <w:r w:rsidR="00CF45F4" w:rsidRPr="001D0636">
        <w:t xml:space="preserve">inadequate response </w:t>
      </w:r>
      <w:r w:rsidR="000C34EB" w:rsidRPr="001D0636">
        <w:t>by the State party</w:t>
      </w:r>
      <w:r w:rsidR="00904F50" w:rsidRPr="001D0636">
        <w:t xml:space="preserve"> </w:t>
      </w:r>
      <w:r w:rsidR="000C34EB" w:rsidRPr="001D0636">
        <w:t>to investigate thes</w:t>
      </w:r>
      <w:r w:rsidR="00CF45F4" w:rsidRPr="001D0636">
        <w:t>e</w:t>
      </w:r>
      <w:r w:rsidR="00904F50" w:rsidRPr="001D0636">
        <w:t xml:space="preserve"> allegations</w:t>
      </w:r>
      <w:r w:rsidR="00E851FB" w:rsidRPr="001D0636">
        <w:t xml:space="preserve">. </w:t>
      </w:r>
      <w:r w:rsidR="00CF45F4" w:rsidRPr="001D0636">
        <w:t xml:space="preserve"> (art</w:t>
      </w:r>
      <w:r w:rsidR="00690098">
        <w:t>icle 3</w:t>
      </w:r>
      <w:r w:rsidR="00CF45F4" w:rsidRPr="001D0636">
        <w:t>)</w:t>
      </w:r>
    </w:p>
    <w:p w:rsidR="00210BD9" w:rsidRDefault="00CF45F4" w:rsidP="00DF2C8A">
      <w:pPr>
        <w:pStyle w:val="SingleTxtG"/>
        <w:spacing w:after="0"/>
        <w:rPr>
          <w:b/>
          <w:bCs/>
        </w:rPr>
      </w:pPr>
      <w:r w:rsidRPr="008F4CAE">
        <w:rPr>
          <w:b/>
          <w:bCs/>
        </w:rPr>
        <w:t xml:space="preserve">The State party should provide further information on specific measures taken to investigate allegations of the </w:t>
      </w:r>
      <w:r w:rsidR="00E35D66" w:rsidRPr="008F4CAE">
        <w:rPr>
          <w:b/>
          <w:bCs/>
        </w:rPr>
        <w:t xml:space="preserve">State party’s involvement in </w:t>
      </w:r>
      <w:r w:rsidR="00D026CF" w:rsidRPr="008F4CAE">
        <w:rPr>
          <w:b/>
          <w:bCs/>
        </w:rPr>
        <w:t>“</w:t>
      </w:r>
      <w:r w:rsidR="00E35D66" w:rsidRPr="008F4CAE">
        <w:rPr>
          <w:b/>
          <w:bCs/>
        </w:rPr>
        <w:t>rendition programmes</w:t>
      </w:r>
      <w:r w:rsidR="00D026CF" w:rsidRPr="008F4CAE">
        <w:rPr>
          <w:b/>
          <w:bCs/>
        </w:rPr>
        <w:t>”</w:t>
      </w:r>
      <w:r w:rsidR="00E35D66" w:rsidRPr="008F4CAE">
        <w:rPr>
          <w:b/>
          <w:bCs/>
        </w:rPr>
        <w:t xml:space="preserve"> and the </w:t>
      </w:r>
      <w:r w:rsidRPr="008F4CAE">
        <w:rPr>
          <w:b/>
          <w:bCs/>
        </w:rPr>
        <w:t>use of</w:t>
      </w:r>
      <w:r w:rsidR="00EC121C" w:rsidRPr="008F4CAE">
        <w:rPr>
          <w:b/>
          <w:bCs/>
        </w:rPr>
        <w:t xml:space="preserve"> the</w:t>
      </w:r>
      <w:r w:rsidRPr="008F4CAE">
        <w:rPr>
          <w:b/>
          <w:bCs/>
        </w:rPr>
        <w:t xml:space="preserve"> </w:t>
      </w:r>
      <w:r w:rsidR="00EC121C" w:rsidRPr="008F4CAE">
        <w:rPr>
          <w:b/>
          <w:bCs/>
        </w:rPr>
        <w:t xml:space="preserve">State party’s airports and airspace by flights involved in </w:t>
      </w:r>
      <w:r w:rsidR="00D026CF" w:rsidRPr="008F4CAE">
        <w:rPr>
          <w:b/>
          <w:bCs/>
        </w:rPr>
        <w:t>“</w:t>
      </w:r>
      <w:r w:rsidR="00EC121C" w:rsidRPr="008F4CAE">
        <w:rPr>
          <w:b/>
          <w:bCs/>
        </w:rPr>
        <w:t xml:space="preserve">extraordinary </w:t>
      </w:r>
      <w:r w:rsidRPr="008F4CAE">
        <w:rPr>
          <w:b/>
          <w:bCs/>
        </w:rPr>
        <w:t>rendition</w:t>
      </w:r>
      <w:r w:rsidR="00D026CF" w:rsidRPr="008F4CAE">
        <w:rPr>
          <w:b/>
          <w:bCs/>
        </w:rPr>
        <w:t>”</w:t>
      </w:r>
      <w:r w:rsidRPr="008F4CAE">
        <w:rPr>
          <w:b/>
          <w:bCs/>
        </w:rPr>
        <w:t xml:space="preserve">. The State party should provide </w:t>
      </w:r>
      <w:r w:rsidR="00A966F7">
        <w:rPr>
          <w:b/>
          <w:bCs/>
        </w:rPr>
        <w:t xml:space="preserve">clarification on </w:t>
      </w:r>
      <w:r w:rsidRPr="008F4CAE">
        <w:rPr>
          <w:b/>
          <w:bCs/>
        </w:rPr>
        <w:t>such measures and the outcome of the investigations</w:t>
      </w:r>
      <w:r w:rsidR="00A966F7">
        <w:rPr>
          <w:b/>
          <w:bCs/>
        </w:rPr>
        <w:t>,</w:t>
      </w:r>
      <w:r w:rsidR="00437A97" w:rsidRPr="008F4CAE">
        <w:rPr>
          <w:b/>
          <w:bCs/>
        </w:rPr>
        <w:t xml:space="preserve"> and </w:t>
      </w:r>
      <w:r w:rsidR="00E76EB3">
        <w:rPr>
          <w:b/>
          <w:bCs/>
        </w:rPr>
        <w:t xml:space="preserve">take steps to </w:t>
      </w:r>
      <w:r w:rsidR="00437A97" w:rsidRPr="008F4CAE">
        <w:rPr>
          <w:b/>
          <w:bCs/>
        </w:rPr>
        <w:t xml:space="preserve">ensure that such cases are </w:t>
      </w:r>
      <w:r w:rsidR="00A966F7">
        <w:rPr>
          <w:b/>
          <w:bCs/>
        </w:rPr>
        <w:t>prevented</w:t>
      </w:r>
      <w:r w:rsidRPr="008F4CAE">
        <w:rPr>
          <w:b/>
          <w:bCs/>
        </w:rPr>
        <w:t>.</w:t>
      </w:r>
    </w:p>
    <w:p w:rsidR="00E76EB3" w:rsidRDefault="005508FF" w:rsidP="005508FF">
      <w:pPr>
        <w:pStyle w:val="H23G"/>
      </w:pPr>
      <w:r>
        <w:tab/>
      </w:r>
      <w:r>
        <w:tab/>
      </w:r>
      <w:r w:rsidR="00E76EB3">
        <w:t>Refugees and international protection</w:t>
      </w:r>
    </w:p>
    <w:p w:rsidR="006C1D5D" w:rsidRPr="001D0636" w:rsidRDefault="006C1D5D" w:rsidP="00690098">
      <w:pPr>
        <w:pStyle w:val="SingleTxtG"/>
      </w:pPr>
      <w:r>
        <w:t>11.</w:t>
      </w:r>
      <w:r>
        <w:tab/>
      </w:r>
      <w:r w:rsidRPr="001D0636">
        <w:t xml:space="preserve">While taking note that asylum applications falling under the Dublin II Regulation are subject to appeal before the Refugee Appeals Tribunal in the State party, the Committee is concerned that the lodging of an appeal does not have suspensive effect on the impugned decisions. The Committee is also concerned that while the Immigration and Residence Protection Bill </w:t>
      </w:r>
      <w:r w:rsidR="00E76EB3" w:rsidRPr="001D0636">
        <w:t>20</w:t>
      </w:r>
      <w:r w:rsidR="00E76EB3">
        <w:t>08</w:t>
      </w:r>
      <w:r w:rsidR="00E76EB3" w:rsidRPr="001D0636">
        <w:t xml:space="preserve"> </w:t>
      </w:r>
      <w:r w:rsidRPr="001D0636">
        <w:t xml:space="preserve">contains a prohibition on non-refoulement, the bill does not set out the procedure </w:t>
      </w:r>
      <w:r w:rsidR="00E76EB3">
        <w:t>to be followed</w:t>
      </w:r>
      <w:r w:rsidRPr="001D0636">
        <w:t xml:space="preserve">. Furthermore, the Committee </w:t>
      </w:r>
      <w:r w:rsidR="00E76EB3">
        <w:t>takes note of reports indicating</w:t>
      </w:r>
      <w:r w:rsidRPr="001D0636">
        <w:t xml:space="preserve"> the </w:t>
      </w:r>
      <w:r w:rsidR="00096E5E">
        <w:t>increased</w:t>
      </w:r>
      <w:r w:rsidR="00096E5E" w:rsidRPr="001D0636">
        <w:t xml:space="preserve"> </w:t>
      </w:r>
      <w:r w:rsidRPr="001D0636">
        <w:t>drop in positive determinations for refugee status. (articles 3 and 14)</w:t>
      </w:r>
    </w:p>
    <w:p w:rsidR="00CD39E6" w:rsidRPr="008F4CAE" w:rsidRDefault="006C1D5D" w:rsidP="00096E5E">
      <w:pPr>
        <w:pStyle w:val="SingleTxtG"/>
        <w:rPr>
          <w:b/>
          <w:bCs/>
        </w:rPr>
      </w:pPr>
      <w:r w:rsidRPr="008F4CAE">
        <w:rPr>
          <w:b/>
          <w:bCs/>
        </w:rPr>
        <w:t>The Committee recommends that the State party should pursue efforts aimed at strengthening the protection of persons in need of international protection</w:t>
      </w:r>
      <w:r w:rsidR="00E76EB3">
        <w:rPr>
          <w:b/>
          <w:bCs/>
        </w:rPr>
        <w:t xml:space="preserve">. In this regard, the State party should consider amending the draft Immigration, Residence and Protection bill in order to bring it into line with the requirements of the Convention </w:t>
      </w:r>
      <w:r w:rsidR="000376A1">
        <w:rPr>
          <w:b/>
          <w:bCs/>
        </w:rPr>
        <w:t xml:space="preserve">in particular with </w:t>
      </w:r>
      <w:r w:rsidR="00B257AC">
        <w:rPr>
          <w:b/>
          <w:bCs/>
        </w:rPr>
        <w:t xml:space="preserve">regard to </w:t>
      </w:r>
      <w:r w:rsidR="000376A1">
        <w:rPr>
          <w:b/>
          <w:bCs/>
        </w:rPr>
        <w:t>the rights of migrants to judicial review over administrative actions as also recommended by the Committee on the Elimination of Racial Discrimination (CERD/C/IRL/CO/3-4 paragraph 15)</w:t>
      </w:r>
      <w:r w:rsidR="009B4446">
        <w:rPr>
          <w:b/>
          <w:bCs/>
        </w:rPr>
        <w:t>.</w:t>
      </w:r>
      <w:r w:rsidR="00E76EB3">
        <w:rPr>
          <w:b/>
          <w:bCs/>
        </w:rPr>
        <w:t xml:space="preserve"> </w:t>
      </w:r>
      <w:r w:rsidRPr="008F4CAE">
        <w:rPr>
          <w:b/>
          <w:bCs/>
        </w:rPr>
        <w:t xml:space="preserve"> </w:t>
      </w:r>
      <w:r w:rsidR="009B4446">
        <w:rPr>
          <w:b/>
          <w:bCs/>
        </w:rPr>
        <w:t>T</w:t>
      </w:r>
      <w:r w:rsidRPr="008F4CAE">
        <w:rPr>
          <w:b/>
          <w:bCs/>
        </w:rPr>
        <w:t xml:space="preserve">he Committee </w:t>
      </w:r>
      <w:r w:rsidR="009B4446">
        <w:rPr>
          <w:b/>
          <w:bCs/>
        </w:rPr>
        <w:t xml:space="preserve">also </w:t>
      </w:r>
      <w:r w:rsidRPr="008F4CAE">
        <w:rPr>
          <w:b/>
          <w:bCs/>
        </w:rPr>
        <w:t xml:space="preserve">recommends that the State party should consider amending its legislation so that the lodging of an appeal before the Refugee Appeals Tribunal has suspensive effect on the impugned decision. Furthermore, the Committee recommends that the State party should investigate the </w:t>
      </w:r>
      <w:r w:rsidR="00096E5E">
        <w:rPr>
          <w:b/>
          <w:bCs/>
        </w:rPr>
        <w:t>increased</w:t>
      </w:r>
      <w:r w:rsidR="00096E5E" w:rsidRPr="008F4CAE">
        <w:rPr>
          <w:b/>
          <w:bCs/>
        </w:rPr>
        <w:t xml:space="preserve"> </w:t>
      </w:r>
      <w:r w:rsidRPr="008F4CAE">
        <w:rPr>
          <w:b/>
          <w:bCs/>
        </w:rPr>
        <w:t>drop in positive determinations for refugee status to ensure that applications are processed follow</w:t>
      </w:r>
      <w:r w:rsidR="00E76EB3">
        <w:rPr>
          <w:b/>
          <w:bCs/>
        </w:rPr>
        <w:t>ing</w:t>
      </w:r>
      <w:r w:rsidRPr="008F4CAE">
        <w:rPr>
          <w:b/>
          <w:bCs/>
        </w:rPr>
        <w:t xml:space="preserve"> due process.</w:t>
      </w:r>
    </w:p>
    <w:p w:rsidR="00854701" w:rsidRPr="001D0636" w:rsidRDefault="008F4CAE" w:rsidP="008F4CAE">
      <w:pPr>
        <w:pStyle w:val="H23G"/>
      </w:pPr>
      <w:r>
        <w:tab/>
      </w:r>
      <w:r>
        <w:tab/>
      </w:r>
      <w:r w:rsidR="00854701" w:rsidRPr="001D0636">
        <w:t>Prison conditions</w:t>
      </w:r>
    </w:p>
    <w:p w:rsidR="00854701" w:rsidRPr="001D0636" w:rsidRDefault="001D0636" w:rsidP="003C039D">
      <w:pPr>
        <w:pStyle w:val="SingleTxtG"/>
      </w:pPr>
      <w:r>
        <w:t>1</w:t>
      </w:r>
      <w:r w:rsidR="006C1D5D">
        <w:t>2</w:t>
      </w:r>
      <w:r w:rsidR="00854701" w:rsidRPr="001D0636">
        <w:t>.</w:t>
      </w:r>
      <w:r w:rsidR="00854701" w:rsidRPr="001D0636">
        <w:tab/>
        <w:t>The Committee notes the State party’s efforts to alleviate overcrowding in prisons through, inter alia, the construction of new accommodation in existing prison facilities and the upgrading of some of these facilities and the adoption of alternative non-custodial measures to reduce the number of individuals who are being sent to prison</w:t>
      </w:r>
      <w:r w:rsidR="00BB3D47" w:rsidRPr="001D0636">
        <w:t>,</w:t>
      </w:r>
      <w:r w:rsidR="00854701" w:rsidRPr="001D0636">
        <w:t xml:space="preserve"> such as the adoption of the Fines Act of 2010. The Committee</w:t>
      </w:r>
      <w:r w:rsidR="00584308" w:rsidRPr="001D0636">
        <w:t>,</w:t>
      </w:r>
      <w:r w:rsidR="00854701" w:rsidRPr="001D0636">
        <w:t xml:space="preserve"> however, remains deeply concerned at reports that overcrowding remains a serious problem</w:t>
      </w:r>
      <w:r w:rsidR="00584308" w:rsidRPr="001D0636">
        <w:t>.</w:t>
      </w:r>
      <w:r w:rsidR="00854701" w:rsidRPr="001D0636">
        <w:t xml:space="preserve"> (articles 11 and 16)</w:t>
      </w:r>
    </w:p>
    <w:p w:rsidR="00854701" w:rsidRPr="008F4CAE" w:rsidRDefault="00854701" w:rsidP="004D5872">
      <w:pPr>
        <w:pStyle w:val="SingleTxtG"/>
        <w:rPr>
          <w:b/>
          <w:bCs/>
        </w:rPr>
      </w:pPr>
      <w:r w:rsidRPr="008F4CAE">
        <w:rPr>
          <w:b/>
          <w:bCs/>
        </w:rPr>
        <w:t xml:space="preserve">The Committee </w:t>
      </w:r>
      <w:r w:rsidR="00E66BB6">
        <w:rPr>
          <w:b/>
          <w:bCs/>
        </w:rPr>
        <w:t xml:space="preserve">recommends that </w:t>
      </w:r>
      <w:r w:rsidRPr="008F4CAE">
        <w:rPr>
          <w:b/>
          <w:bCs/>
        </w:rPr>
        <w:t>the State party:</w:t>
      </w:r>
    </w:p>
    <w:p w:rsidR="00854701" w:rsidRPr="008F4CAE" w:rsidRDefault="008F4CAE" w:rsidP="00690098">
      <w:pPr>
        <w:pStyle w:val="SingleTxtG"/>
        <w:rPr>
          <w:b/>
          <w:bCs/>
        </w:rPr>
      </w:pPr>
      <w:r>
        <w:rPr>
          <w:b/>
          <w:bCs/>
        </w:rPr>
        <w:tab/>
      </w:r>
      <w:r w:rsidRPr="008F4CAE">
        <w:rPr>
          <w:b/>
          <w:bCs/>
        </w:rPr>
        <w:t>a)</w:t>
      </w:r>
      <w:r w:rsidRPr="008F4CAE">
        <w:rPr>
          <w:b/>
          <w:bCs/>
        </w:rPr>
        <w:tab/>
      </w:r>
      <w:r w:rsidR="004D5872">
        <w:rPr>
          <w:b/>
          <w:bCs/>
        </w:rPr>
        <w:t>A</w:t>
      </w:r>
      <w:r w:rsidR="004D5872" w:rsidRPr="008F4CAE">
        <w:rPr>
          <w:b/>
          <w:bCs/>
        </w:rPr>
        <w:t xml:space="preserve">dopt </w:t>
      </w:r>
      <w:r w:rsidR="004D5872">
        <w:rPr>
          <w:b/>
          <w:bCs/>
        </w:rPr>
        <w:t>s</w:t>
      </w:r>
      <w:r w:rsidR="00854701" w:rsidRPr="008F4CAE">
        <w:rPr>
          <w:b/>
          <w:bCs/>
        </w:rPr>
        <w:t>pecific timeframes for the construction of new prison facilities which comply with international standards. In this regard, the Committee requests the State party to inform it of any decisions taken with regard to t</w:t>
      </w:r>
      <w:r w:rsidR="00584308" w:rsidRPr="008F4CAE">
        <w:rPr>
          <w:b/>
          <w:bCs/>
        </w:rPr>
        <w:t>he Thornton Hall prison project</w:t>
      </w:r>
      <w:r w:rsidR="004D5872">
        <w:rPr>
          <w:b/>
          <w:bCs/>
        </w:rPr>
        <w:t>;</w:t>
      </w:r>
      <w:r w:rsidR="00584308" w:rsidRPr="008F4CAE">
        <w:rPr>
          <w:b/>
          <w:bCs/>
        </w:rPr>
        <w:t xml:space="preserve"> </w:t>
      </w:r>
    </w:p>
    <w:p w:rsidR="004D5872" w:rsidRDefault="008F4CAE" w:rsidP="00C66CE1">
      <w:pPr>
        <w:pStyle w:val="SingleTxtG"/>
        <w:rPr>
          <w:b/>
          <w:bCs/>
        </w:rPr>
      </w:pPr>
      <w:r>
        <w:rPr>
          <w:b/>
          <w:bCs/>
        </w:rPr>
        <w:tab/>
      </w:r>
      <w:r w:rsidRPr="008F4CAE">
        <w:rPr>
          <w:b/>
          <w:bCs/>
        </w:rPr>
        <w:t>b)</w:t>
      </w:r>
      <w:r w:rsidRPr="008F4CAE">
        <w:rPr>
          <w:b/>
          <w:bCs/>
        </w:rPr>
        <w:tab/>
      </w:r>
      <w:r w:rsidR="00690098">
        <w:rPr>
          <w:b/>
          <w:bCs/>
        </w:rPr>
        <w:t>Adopt</w:t>
      </w:r>
      <w:r w:rsidR="004D5872">
        <w:rPr>
          <w:b/>
          <w:bCs/>
        </w:rPr>
        <w:t xml:space="preserve"> </w:t>
      </w:r>
      <w:r w:rsidR="00C66CE1">
        <w:rPr>
          <w:b/>
          <w:bCs/>
        </w:rPr>
        <w:t>a</w:t>
      </w:r>
      <w:r w:rsidR="00854701" w:rsidRPr="008F4CAE">
        <w:rPr>
          <w:b/>
          <w:bCs/>
        </w:rPr>
        <w:t xml:space="preserve"> policy focus</w:t>
      </w:r>
      <w:r w:rsidR="00C66CE1">
        <w:rPr>
          <w:b/>
          <w:bCs/>
        </w:rPr>
        <w:t>ing</w:t>
      </w:r>
      <w:r w:rsidR="00854701" w:rsidRPr="008F4CAE">
        <w:rPr>
          <w:b/>
          <w:bCs/>
        </w:rPr>
        <w:t xml:space="preserve"> on the development of alternative, non-custodial sanctions including the </w:t>
      </w:r>
      <w:r w:rsidR="00584308" w:rsidRPr="008F4CAE">
        <w:rPr>
          <w:b/>
          <w:bCs/>
        </w:rPr>
        <w:t>enactment</w:t>
      </w:r>
      <w:r w:rsidR="00854701" w:rsidRPr="008F4CAE">
        <w:rPr>
          <w:b/>
          <w:bCs/>
        </w:rPr>
        <w:t xml:space="preserve"> of the bill amending the Criminal Justice (Community Service) Act </w:t>
      </w:r>
      <w:r w:rsidR="00854701" w:rsidRPr="004D5872">
        <w:rPr>
          <w:b/>
          <w:bCs/>
        </w:rPr>
        <w:t>1983, which provides that Judges will be required to consider community service as an alternative to custody in all cases where a custodial sentence of 12 months or less is appropriate</w:t>
      </w:r>
      <w:r w:rsidR="004D5872">
        <w:rPr>
          <w:b/>
          <w:bCs/>
        </w:rPr>
        <w:t xml:space="preserve">; and </w:t>
      </w:r>
    </w:p>
    <w:p w:rsidR="00854701" w:rsidRPr="004D5872" w:rsidRDefault="004D5872" w:rsidP="00690098">
      <w:pPr>
        <w:pStyle w:val="SingleTxtG"/>
        <w:ind w:firstLine="567"/>
        <w:rPr>
          <w:b/>
          <w:bCs/>
        </w:rPr>
      </w:pPr>
      <w:r>
        <w:rPr>
          <w:b/>
          <w:bCs/>
        </w:rPr>
        <w:t>c)</w:t>
      </w:r>
      <w:r>
        <w:rPr>
          <w:b/>
          <w:bCs/>
        </w:rPr>
        <w:tab/>
        <w:t>Expedite the ratification of the Optional Protocol to the Convention against Torture and Other Cruel, Degrading Treatment or Punishment</w:t>
      </w:r>
      <w:r w:rsidR="00C66CE1">
        <w:rPr>
          <w:b/>
          <w:bCs/>
        </w:rPr>
        <w:t>, 2002</w:t>
      </w:r>
      <w:r w:rsidR="00690098">
        <w:rPr>
          <w:b/>
          <w:bCs/>
        </w:rPr>
        <w:t xml:space="preserve"> and the establishment of a National Preventive Mechanism</w:t>
      </w:r>
      <w:r>
        <w:rPr>
          <w:b/>
          <w:bCs/>
        </w:rPr>
        <w:t>.</w:t>
      </w:r>
    </w:p>
    <w:p w:rsidR="00854701" w:rsidRPr="001D0636" w:rsidRDefault="009A774B" w:rsidP="00BB7153">
      <w:pPr>
        <w:pStyle w:val="SingleTxtG"/>
      </w:pPr>
      <w:r w:rsidRPr="001D0636">
        <w:lastRenderedPageBreak/>
        <w:t>1</w:t>
      </w:r>
      <w:r w:rsidR="006C1D5D">
        <w:t>3</w:t>
      </w:r>
      <w:r w:rsidRPr="001D0636">
        <w:t>.</w:t>
      </w:r>
      <w:r w:rsidRPr="001D0636">
        <w:tab/>
      </w:r>
      <w:r w:rsidR="00BB7153">
        <w:t>W</w:t>
      </w:r>
      <w:r w:rsidR="00854701" w:rsidRPr="001D0636">
        <w:t xml:space="preserve">hile noting the efforts </w:t>
      </w:r>
      <w:r w:rsidR="00BB7153">
        <w:t>by</w:t>
      </w:r>
      <w:r w:rsidR="00854701" w:rsidRPr="001D0636">
        <w:t xml:space="preserve"> the State party to provide all cells with in-cell sanitation, </w:t>
      </w:r>
      <w:r w:rsidR="00BB7153">
        <w:t>t</w:t>
      </w:r>
      <w:r w:rsidR="00BB7153" w:rsidRPr="001D0636">
        <w:t xml:space="preserve">he Committee </w:t>
      </w:r>
      <w:r w:rsidR="00BB7153">
        <w:t>is</w:t>
      </w:r>
      <w:r w:rsidR="00854701" w:rsidRPr="001D0636">
        <w:t xml:space="preserve"> </w:t>
      </w:r>
      <w:r w:rsidR="00BB7153">
        <w:t xml:space="preserve">deeply </w:t>
      </w:r>
      <w:r w:rsidR="00854701" w:rsidRPr="001D0636">
        <w:t xml:space="preserve">concerned at the continuing practice of ‘slopping out’ in some of the prisons in the State party, which amounts to </w:t>
      </w:r>
      <w:r w:rsidRPr="001D0636">
        <w:t>inhuman and degrading treatment</w:t>
      </w:r>
      <w:r w:rsidR="00BA1659" w:rsidRPr="001D0636">
        <w:t>.</w:t>
      </w:r>
      <w:r w:rsidRPr="001D0636">
        <w:t xml:space="preserve"> (article</w:t>
      </w:r>
      <w:r w:rsidR="00E367CE" w:rsidRPr="001D0636">
        <w:t>s</w:t>
      </w:r>
      <w:r w:rsidRPr="001D0636">
        <w:t xml:space="preserve"> 11 and 16)</w:t>
      </w:r>
    </w:p>
    <w:p w:rsidR="00854701" w:rsidRPr="008F4CAE" w:rsidRDefault="00854701" w:rsidP="00245D25">
      <w:pPr>
        <w:pStyle w:val="SingleTxtG"/>
        <w:rPr>
          <w:b/>
          <w:bCs/>
        </w:rPr>
      </w:pPr>
      <w:r w:rsidRPr="008F4CAE">
        <w:rPr>
          <w:b/>
          <w:bCs/>
        </w:rPr>
        <w:t xml:space="preserve">The Committee recommends that the State party should strengthen its efforts to eliminate, without delay, the practice of ‘slopping out’, starting with </w:t>
      </w:r>
      <w:r w:rsidR="00BA1659" w:rsidRPr="008F4CAE">
        <w:rPr>
          <w:b/>
          <w:bCs/>
        </w:rPr>
        <w:t>instances</w:t>
      </w:r>
      <w:r w:rsidRPr="008F4CAE">
        <w:rPr>
          <w:b/>
          <w:bCs/>
        </w:rPr>
        <w:t xml:space="preserve"> where prisoners have to share cells</w:t>
      </w:r>
      <w:r w:rsidR="005C664A" w:rsidRPr="008F4CAE">
        <w:rPr>
          <w:b/>
          <w:bCs/>
        </w:rPr>
        <w:t xml:space="preserve">. </w:t>
      </w:r>
      <w:r w:rsidR="00C66CE1">
        <w:rPr>
          <w:b/>
          <w:bCs/>
        </w:rPr>
        <w:t>The Committee further recommends that u</w:t>
      </w:r>
      <w:r w:rsidR="005C664A" w:rsidRPr="008F4CAE">
        <w:rPr>
          <w:b/>
          <w:bCs/>
        </w:rPr>
        <w:t>ntil such a time as all c</w:t>
      </w:r>
      <w:r w:rsidR="00DD00FE" w:rsidRPr="008F4CAE">
        <w:rPr>
          <w:b/>
          <w:bCs/>
        </w:rPr>
        <w:t>ells posse</w:t>
      </w:r>
      <w:r w:rsidR="00F21581" w:rsidRPr="008F4CAE">
        <w:rPr>
          <w:b/>
          <w:bCs/>
        </w:rPr>
        <w:t>s</w:t>
      </w:r>
      <w:r w:rsidR="00DD00FE" w:rsidRPr="008F4CAE">
        <w:rPr>
          <w:b/>
          <w:bCs/>
        </w:rPr>
        <w:t>s in-cell sanitation</w:t>
      </w:r>
      <w:r w:rsidR="00BA1659" w:rsidRPr="008F4CAE">
        <w:rPr>
          <w:b/>
          <w:bCs/>
        </w:rPr>
        <w:t>,</w:t>
      </w:r>
      <w:r w:rsidR="005C664A" w:rsidRPr="008F4CAE">
        <w:rPr>
          <w:b/>
          <w:bCs/>
        </w:rPr>
        <w:t xml:space="preserve"> concerted action should be taken</w:t>
      </w:r>
      <w:r w:rsidR="00C66CE1">
        <w:rPr>
          <w:b/>
          <w:bCs/>
        </w:rPr>
        <w:t xml:space="preserve"> by the State party</w:t>
      </w:r>
      <w:r w:rsidR="005C664A" w:rsidRPr="008F4CAE">
        <w:rPr>
          <w:b/>
          <w:bCs/>
        </w:rPr>
        <w:t xml:space="preserve"> to ensure that all prisoners are </w:t>
      </w:r>
      <w:r w:rsidR="009A4CD6">
        <w:rPr>
          <w:b/>
          <w:bCs/>
        </w:rPr>
        <w:t>allowed</w:t>
      </w:r>
      <w:r w:rsidR="005C664A" w:rsidRPr="008F4CAE">
        <w:rPr>
          <w:b/>
          <w:bCs/>
        </w:rPr>
        <w:t xml:space="preserve"> to be released</w:t>
      </w:r>
      <w:r w:rsidR="004E2C8A" w:rsidRPr="008F4CAE">
        <w:rPr>
          <w:b/>
          <w:bCs/>
        </w:rPr>
        <w:t xml:space="preserve"> from their cells to use toilet facilities at all times.</w:t>
      </w:r>
    </w:p>
    <w:p w:rsidR="00854701" w:rsidRPr="001D0636" w:rsidRDefault="001D0636" w:rsidP="00774C0E">
      <w:pPr>
        <w:pStyle w:val="SingleTxtG"/>
      </w:pPr>
      <w:r>
        <w:t>1</w:t>
      </w:r>
      <w:r w:rsidR="006C1D5D">
        <w:t>4</w:t>
      </w:r>
      <w:r w:rsidR="00DD00FE" w:rsidRPr="001D0636">
        <w:t>.</w:t>
      </w:r>
      <w:r w:rsidR="00DD00FE" w:rsidRPr="001D0636">
        <w:tab/>
      </w:r>
      <w:r w:rsidR="00854701" w:rsidRPr="001D0636">
        <w:t>The Committee notes the clarification provide</w:t>
      </w:r>
      <w:r w:rsidR="00913156" w:rsidRPr="001D0636">
        <w:t>d</w:t>
      </w:r>
      <w:r w:rsidR="00854701" w:rsidRPr="001D0636">
        <w:t xml:space="preserve"> by the State party </w:t>
      </w:r>
      <w:r w:rsidR="00BA1659" w:rsidRPr="001D0636">
        <w:t>on</w:t>
      </w:r>
      <w:r w:rsidR="00854701" w:rsidRPr="001D0636">
        <w:t xml:space="preserve"> the use of special observation cells. The Committee also notes with interest that</w:t>
      </w:r>
      <w:r w:rsidR="00913156" w:rsidRPr="001D0636">
        <w:t>,</w:t>
      </w:r>
      <w:r w:rsidR="00854701" w:rsidRPr="001D0636">
        <w:t xml:space="preserve"> following a recommendation by the Inspector of Prison</w:t>
      </w:r>
      <w:r w:rsidR="00847E45" w:rsidRPr="001D0636">
        <w:t>s</w:t>
      </w:r>
      <w:r w:rsidR="00913156" w:rsidRPr="001D0636">
        <w:t>,</w:t>
      </w:r>
      <w:r w:rsidR="00854701" w:rsidRPr="001D0636">
        <w:t xml:space="preserve"> the prison inspectorate is in the process of designating safety observation cells for medical </w:t>
      </w:r>
      <w:r w:rsidR="00774C0E">
        <w:t>reasons</w:t>
      </w:r>
      <w:r w:rsidR="00774C0E" w:rsidRPr="001D0636">
        <w:t xml:space="preserve"> </w:t>
      </w:r>
      <w:r w:rsidR="00854701" w:rsidRPr="001D0636">
        <w:t>only</w:t>
      </w:r>
      <w:r w:rsidR="002E4989" w:rsidRPr="001D0636">
        <w:t>,</w:t>
      </w:r>
      <w:r w:rsidR="00854701" w:rsidRPr="001D0636">
        <w:t xml:space="preserve"> which will be covered by</w:t>
      </w:r>
      <w:r w:rsidR="00DD00FE" w:rsidRPr="001D0636">
        <w:t xml:space="preserve"> an amendment </w:t>
      </w:r>
      <w:r w:rsidR="002E4989" w:rsidRPr="001D0636">
        <w:t xml:space="preserve">to </w:t>
      </w:r>
      <w:r w:rsidR="00DD00FE" w:rsidRPr="001D0636">
        <w:t>the prison rules.</w:t>
      </w:r>
      <w:r w:rsidR="00847E45" w:rsidRPr="001D0636">
        <w:t xml:space="preserve"> </w:t>
      </w:r>
      <w:r w:rsidR="00DD00FE" w:rsidRPr="001D0636">
        <w:t>(article</w:t>
      </w:r>
      <w:r w:rsidR="00847E45" w:rsidRPr="001D0636">
        <w:t>s</w:t>
      </w:r>
      <w:r w:rsidR="00DD00FE" w:rsidRPr="001D0636">
        <w:t xml:space="preserve"> 11 and 16)</w:t>
      </w:r>
    </w:p>
    <w:p w:rsidR="0013616B" w:rsidRPr="005508FF" w:rsidRDefault="00854701" w:rsidP="005508FF">
      <w:pPr>
        <w:pStyle w:val="SingleTxtG"/>
        <w:rPr>
          <w:b/>
          <w:bCs/>
        </w:rPr>
      </w:pPr>
      <w:r w:rsidRPr="005508FF">
        <w:rPr>
          <w:b/>
          <w:bCs/>
        </w:rPr>
        <w:t xml:space="preserve">The Committee recommends that the State party </w:t>
      </w:r>
      <w:r w:rsidR="002E4989" w:rsidRPr="005508FF">
        <w:rPr>
          <w:b/>
          <w:bCs/>
        </w:rPr>
        <w:t xml:space="preserve">should </w:t>
      </w:r>
      <w:r w:rsidRPr="005508FF">
        <w:rPr>
          <w:b/>
          <w:bCs/>
        </w:rPr>
        <w:t>ensure that</w:t>
      </w:r>
      <w:r w:rsidR="00C329B7" w:rsidRPr="005508FF">
        <w:rPr>
          <w:b/>
          <w:bCs/>
        </w:rPr>
        <w:t xml:space="preserve"> it </w:t>
      </w:r>
      <w:r w:rsidR="006C4CAC" w:rsidRPr="005508FF">
        <w:rPr>
          <w:b/>
          <w:bCs/>
        </w:rPr>
        <w:t>follows the guidance given by the Inspector of Prisons in his report dated</w:t>
      </w:r>
      <w:r w:rsidR="002301EF" w:rsidRPr="005508FF">
        <w:rPr>
          <w:b/>
          <w:bCs/>
        </w:rPr>
        <w:t xml:space="preserve"> 7 April 2011 </w:t>
      </w:r>
      <w:r w:rsidR="006C4CAC" w:rsidRPr="005508FF">
        <w:rPr>
          <w:b/>
          <w:bCs/>
        </w:rPr>
        <w:t>that appropriate use should be made of saf</w:t>
      </w:r>
      <w:r w:rsidR="00C329B7" w:rsidRPr="005508FF">
        <w:rPr>
          <w:b/>
          <w:bCs/>
        </w:rPr>
        <w:t>ety observation cells and close observation</w:t>
      </w:r>
      <w:r w:rsidR="006C4CAC" w:rsidRPr="005508FF">
        <w:rPr>
          <w:b/>
          <w:bCs/>
        </w:rPr>
        <w:t xml:space="preserve"> cells</w:t>
      </w:r>
      <w:r w:rsidR="00C329B7" w:rsidRPr="005508FF">
        <w:rPr>
          <w:b/>
          <w:bCs/>
        </w:rPr>
        <w:t>.</w:t>
      </w:r>
    </w:p>
    <w:p w:rsidR="00C329B7" w:rsidRDefault="00BD6E22" w:rsidP="005508FF">
      <w:pPr>
        <w:pStyle w:val="SingleTxtG"/>
      </w:pPr>
      <w:r w:rsidRPr="005207E6">
        <w:t>15.</w:t>
      </w:r>
      <w:r w:rsidRPr="005207E6">
        <w:tab/>
        <w:t xml:space="preserve">The Committee is concerned at reports that deficiencies have been </w:t>
      </w:r>
      <w:r w:rsidR="00C329B7" w:rsidRPr="005207E6">
        <w:t>identified in the standard of healthcare provided in a number of prisons in the State party. (article</w:t>
      </w:r>
      <w:r w:rsidR="00141F78">
        <w:t>s</w:t>
      </w:r>
      <w:r w:rsidR="00C329B7" w:rsidRPr="005207E6">
        <w:t xml:space="preserve"> 11 and 16)</w:t>
      </w:r>
    </w:p>
    <w:p w:rsidR="004D5872" w:rsidRPr="008F4CAE" w:rsidRDefault="00C329B7" w:rsidP="00141F78">
      <w:pPr>
        <w:pStyle w:val="SingleTxtG"/>
        <w:rPr>
          <w:b/>
          <w:bCs/>
        </w:rPr>
      </w:pPr>
      <w:r>
        <w:rPr>
          <w:b/>
          <w:bCs/>
        </w:rPr>
        <w:t xml:space="preserve">The Committee recommends that the State party </w:t>
      </w:r>
      <w:r w:rsidR="006C4CAC">
        <w:rPr>
          <w:b/>
          <w:bCs/>
        </w:rPr>
        <w:t>should improve health care in all prisons taking into account the</w:t>
      </w:r>
      <w:r>
        <w:rPr>
          <w:b/>
          <w:bCs/>
        </w:rPr>
        <w:t xml:space="preserve"> </w:t>
      </w:r>
      <w:r w:rsidR="007A53F0">
        <w:rPr>
          <w:b/>
          <w:bCs/>
        </w:rPr>
        <w:t xml:space="preserve">guidance provided by </w:t>
      </w:r>
      <w:r w:rsidR="006C4CAC">
        <w:rPr>
          <w:b/>
          <w:bCs/>
        </w:rPr>
        <w:t>the Inspector of Prisons</w:t>
      </w:r>
      <w:r w:rsidR="008F074D">
        <w:rPr>
          <w:b/>
          <w:bCs/>
        </w:rPr>
        <w:t xml:space="preserve"> as stated in </w:t>
      </w:r>
      <w:r>
        <w:rPr>
          <w:b/>
          <w:bCs/>
        </w:rPr>
        <w:t>his</w:t>
      </w:r>
      <w:r w:rsidR="008F074D">
        <w:rPr>
          <w:b/>
          <w:bCs/>
        </w:rPr>
        <w:t xml:space="preserve"> report dated 18 April 2011</w:t>
      </w:r>
      <w:r w:rsidR="00854701" w:rsidRPr="008F4CAE">
        <w:rPr>
          <w:b/>
          <w:bCs/>
        </w:rPr>
        <w:t>.</w:t>
      </w:r>
    </w:p>
    <w:p w:rsidR="00854701" w:rsidRPr="001D0636" w:rsidRDefault="000A3555" w:rsidP="000A3555">
      <w:pPr>
        <w:pStyle w:val="H23G"/>
      </w:pPr>
      <w:r>
        <w:tab/>
      </w:r>
      <w:r>
        <w:tab/>
      </w:r>
      <w:r w:rsidR="00854701" w:rsidRPr="001D0636">
        <w:t>Inter-prisoner violence</w:t>
      </w:r>
    </w:p>
    <w:p w:rsidR="00854701" w:rsidRPr="001D0636" w:rsidRDefault="007E3B19" w:rsidP="00E42FBC">
      <w:pPr>
        <w:pStyle w:val="SingleTxtG"/>
      </w:pPr>
      <w:r w:rsidRPr="001D0636">
        <w:t>1</w:t>
      </w:r>
      <w:r w:rsidR="00E42FBC">
        <w:t>6</w:t>
      </w:r>
      <w:r w:rsidRPr="001D0636">
        <w:t>.</w:t>
      </w:r>
      <w:r w:rsidRPr="001D0636">
        <w:tab/>
      </w:r>
      <w:r w:rsidR="00854701" w:rsidRPr="001D0636">
        <w:t>The Committee notes the measures taken by the State party to address inter-prisoner violence. However, it remains concerned at the continued high rates of incidents in some of the prisons and at reports of allegations</w:t>
      </w:r>
      <w:r w:rsidR="00913156" w:rsidRPr="001D0636">
        <w:t xml:space="preserve"> by prisoners from the Traveller community</w:t>
      </w:r>
      <w:r w:rsidR="00854701" w:rsidRPr="001D0636">
        <w:t xml:space="preserve"> in </w:t>
      </w:r>
      <w:smartTag w:uri="urn:schemas-microsoft-com:office:smarttags" w:element="place">
        <w:smartTag w:uri="urn:schemas-microsoft-com:office:smarttags" w:element="City">
          <w:r w:rsidR="00854701" w:rsidRPr="001D0636">
            <w:t>Co</w:t>
          </w:r>
          <w:r w:rsidR="00913156" w:rsidRPr="001D0636">
            <w:t>r</w:t>
          </w:r>
          <w:r w:rsidR="00854701" w:rsidRPr="001D0636">
            <w:t>k</w:t>
          </w:r>
        </w:smartTag>
      </w:smartTag>
      <w:r w:rsidR="00854701" w:rsidRPr="001D0636">
        <w:t xml:space="preserve"> prison </w:t>
      </w:r>
      <w:r w:rsidR="00913156" w:rsidRPr="001D0636">
        <w:t xml:space="preserve">that they </w:t>
      </w:r>
      <w:r w:rsidR="00854701" w:rsidRPr="001D0636">
        <w:t>are consistently subjected to acts of intimidation by other prisoners.</w:t>
      </w:r>
      <w:r w:rsidR="009A4F97" w:rsidRPr="001D0636">
        <w:t xml:space="preserve"> (articles 11 and 16)</w:t>
      </w:r>
    </w:p>
    <w:p w:rsidR="00854701" w:rsidRPr="008F4CAE" w:rsidRDefault="00854701" w:rsidP="008F4CAE">
      <w:pPr>
        <w:pStyle w:val="SingleTxtG"/>
        <w:rPr>
          <w:b/>
          <w:bCs/>
        </w:rPr>
      </w:pPr>
      <w:r w:rsidRPr="008F4CAE">
        <w:rPr>
          <w:b/>
          <w:bCs/>
        </w:rPr>
        <w:t>The Committee recommends that the State party should intensify its efforts to tackle inter-prisoner violence through, inter alia:</w:t>
      </w:r>
    </w:p>
    <w:p w:rsidR="00854701" w:rsidRPr="008F4CAE" w:rsidRDefault="008F4CAE" w:rsidP="0013616B">
      <w:pPr>
        <w:pStyle w:val="SingleTxtG"/>
        <w:rPr>
          <w:b/>
          <w:bCs/>
        </w:rPr>
      </w:pPr>
      <w:r>
        <w:rPr>
          <w:b/>
          <w:bCs/>
        </w:rPr>
        <w:tab/>
        <w:t>(a)</w:t>
      </w:r>
      <w:r>
        <w:rPr>
          <w:b/>
          <w:bCs/>
        </w:rPr>
        <w:tab/>
      </w:r>
      <w:r w:rsidR="0013616B">
        <w:rPr>
          <w:b/>
          <w:bCs/>
        </w:rPr>
        <w:t>A</w:t>
      </w:r>
      <w:r w:rsidR="009368E4" w:rsidRPr="008F4CAE">
        <w:rPr>
          <w:b/>
          <w:bCs/>
        </w:rPr>
        <w:t xml:space="preserve">ddressing the </w:t>
      </w:r>
      <w:r w:rsidR="00B92388">
        <w:rPr>
          <w:b/>
          <w:bCs/>
        </w:rPr>
        <w:t>factors contributing</w:t>
      </w:r>
      <w:r w:rsidR="00854701" w:rsidRPr="008F4CAE">
        <w:rPr>
          <w:b/>
          <w:bCs/>
        </w:rPr>
        <w:t xml:space="preserve"> to inter-prisoner violence such as the availability of drugs, the existence of</w:t>
      </w:r>
      <w:r w:rsidR="009368E4" w:rsidRPr="008F4CAE">
        <w:rPr>
          <w:b/>
          <w:bCs/>
        </w:rPr>
        <w:t xml:space="preserve"> feuding</w:t>
      </w:r>
      <w:r w:rsidR="00854701" w:rsidRPr="008F4CAE">
        <w:rPr>
          <w:b/>
          <w:bCs/>
        </w:rPr>
        <w:t xml:space="preserve"> gangs, lack of purposeful activities</w:t>
      </w:r>
      <w:r w:rsidR="00FB1CED" w:rsidRPr="008F4CAE">
        <w:rPr>
          <w:b/>
          <w:bCs/>
        </w:rPr>
        <w:t>,</w:t>
      </w:r>
      <w:r w:rsidR="00854701" w:rsidRPr="008F4CAE">
        <w:rPr>
          <w:b/>
          <w:bCs/>
        </w:rPr>
        <w:t xml:space="preserve"> </w:t>
      </w:r>
      <w:r w:rsidR="00FB1CED" w:rsidRPr="008F4CAE">
        <w:rPr>
          <w:b/>
          <w:bCs/>
        </w:rPr>
        <w:t>l</w:t>
      </w:r>
      <w:r w:rsidR="00854701" w:rsidRPr="008F4CAE">
        <w:rPr>
          <w:b/>
          <w:bCs/>
        </w:rPr>
        <w:t>ack of space and poor material conditions;</w:t>
      </w:r>
    </w:p>
    <w:p w:rsidR="00854701" w:rsidRPr="008F4CAE" w:rsidRDefault="008F4CAE" w:rsidP="008F4CAE">
      <w:pPr>
        <w:pStyle w:val="SingleTxtG"/>
        <w:rPr>
          <w:b/>
          <w:bCs/>
        </w:rPr>
      </w:pPr>
      <w:r>
        <w:rPr>
          <w:b/>
          <w:bCs/>
        </w:rPr>
        <w:tab/>
        <w:t>(b)</w:t>
      </w:r>
      <w:r>
        <w:rPr>
          <w:b/>
          <w:bCs/>
        </w:rPr>
        <w:tab/>
        <w:t>T</w:t>
      </w:r>
      <w:r w:rsidR="00854701" w:rsidRPr="008F4CAE">
        <w:rPr>
          <w:b/>
          <w:bCs/>
        </w:rPr>
        <w:t>he provision of sufficient members of staff who also receive training on the management of inter-prisoner violence;</w:t>
      </w:r>
    </w:p>
    <w:p w:rsidR="00854701" w:rsidRPr="008F4CAE" w:rsidRDefault="008F4CAE" w:rsidP="0013616B">
      <w:pPr>
        <w:pStyle w:val="SingleTxtG"/>
        <w:rPr>
          <w:b/>
          <w:bCs/>
        </w:rPr>
      </w:pPr>
      <w:r>
        <w:rPr>
          <w:b/>
          <w:bCs/>
        </w:rPr>
        <w:tab/>
        <w:t>(c)</w:t>
      </w:r>
      <w:r>
        <w:rPr>
          <w:b/>
          <w:bCs/>
        </w:rPr>
        <w:tab/>
      </w:r>
      <w:r w:rsidR="0013616B">
        <w:rPr>
          <w:b/>
          <w:bCs/>
        </w:rPr>
        <w:t>A</w:t>
      </w:r>
      <w:r w:rsidR="00854701" w:rsidRPr="008F4CAE">
        <w:rPr>
          <w:b/>
          <w:bCs/>
        </w:rPr>
        <w:t>ddressing the issue o</w:t>
      </w:r>
      <w:r w:rsidR="002E4989" w:rsidRPr="008F4CAE">
        <w:rPr>
          <w:b/>
          <w:bCs/>
        </w:rPr>
        <w:t>f intimidation of the Traveller</w:t>
      </w:r>
      <w:r w:rsidR="00854701" w:rsidRPr="008F4CAE">
        <w:rPr>
          <w:b/>
          <w:bCs/>
        </w:rPr>
        <w:t xml:space="preserve"> community and investigating all allegations of such intimidation.</w:t>
      </w:r>
    </w:p>
    <w:p w:rsidR="00854701" w:rsidRPr="008F4CAE" w:rsidRDefault="00854701" w:rsidP="008F4CAE">
      <w:pPr>
        <w:pStyle w:val="SingleTxtG"/>
        <w:rPr>
          <w:b/>
          <w:bCs/>
        </w:rPr>
      </w:pPr>
      <w:r w:rsidRPr="008F4CAE">
        <w:rPr>
          <w:b/>
          <w:bCs/>
        </w:rPr>
        <w:t>The Committee also recommends that the State party provides statistical data so as to enable the Committee to evaluate the effectiveness of the State party’s measures to tackle inter-prisoner violence.</w:t>
      </w:r>
    </w:p>
    <w:p w:rsidR="00E33F3A" w:rsidRPr="001D0636" w:rsidRDefault="000A3555" w:rsidP="000A3555">
      <w:pPr>
        <w:pStyle w:val="H23G"/>
      </w:pPr>
      <w:r>
        <w:tab/>
      </w:r>
      <w:r>
        <w:tab/>
      </w:r>
      <w:r w:rsidR="00E33F3A" w:rsidRPr="001D0636">
        <w:t>Separation of remand prisoners</w:t>
      </w:r>
    </w:p>
    <w:p w:rsidR="00E33F3A" w:rsidRPr="001D0636" w:rsidRDefault="00E33F3A" w:rsidP="00E42FBC">
      <w:pPr>
        <w:pStyle w:val="SingleTxtG"/>
      </w:pPr>
      <w:r w:rsidRPr="001D0636">
        <w:t>1</w:t>
      </w:r>
      <w:r w:rsidR="00E42FBC">
        <w:t>7</w:t>
      </w:r>
      <w:r w:rsidRPr="001D0636">
        <w:t>.</w:t>
      </w:r>
      <w:r w:rsidRPr="001D0636">
        <w:tab/>
        <w:t xml:space="preserve">The Committee notes the efforts of the State party to keep sentenced and </w:t>
      </w:r>
      <w:r w:rsidR="001474B6" w:rsidRPr="001D0636">
        <w:t>remand</w:t>
      </w:r>
      <w:r w:rsidRPr="001D0636">
        <w:t xml:space="preserve"> prisoners in separate accommodation</w:t>
      </w:r>
      <w:r w:rsidR="00DA0A43">
        <w:t xml:space="preserve"> areas in so far as possible</w:t>
      </w:r>
      <w:r w:rsidRPr="001D0636">
        <w:t xml:space="preserve">. </w:t>
      </w:r>
      <w:r w:rsidR="008015BF" w:rsidRPr="001D0636">
        <w:t xml:space="preserve">However, </w:t>
      </w:r>
      <w:r w:rsidR="00DA0A43">
        <w:t>the Committee</w:t>
      </w:r>
      <w:r w:rsidR="008015BF" w:rsidRPr="001D0636">
        <w:t xml:space="preserve"> is concerned </w:t>
      </w:r>
      <w:r w:rsidR="00856743">
        <w:t>that there is no separation</w:t>
      </w:r>
      <w:r w:rsidR="009A278C" w:rsidRPr="001D0636">
        <w:t xml:space="preserve"> of</w:t>
      </w:r>
      <w:r w:rsidR="008015BF" w:rsidRPr="001D0636">
        <w:t xml:space="preserve"> </w:t>
      </w:r>
      <w:r w:rsidR="00E34E13" w:rsidRPr="001D0636">
        <w:t xml:space="preserve">persons on remand </w:t>
      </w:r>
      <w:r w:rsidR="009A278C" w:rsidRPr="001D0636">
        <w:t>from</w:t>
      </w:r>
      <w:r w:rsidR="00E34E13" w:rsidRPr="001D0636">
        <w:t xml:space="preserve"> </w:t>
      </w:r>
      <w:r w:rsidR="008015BF" w:rsidRPr="001D0636">
        <w:t>sentenced</w:t>
      </w:r>
      <w:r w:rsidR="001474B6" w:rsidRPr="001D0636">
        <w:t xml:space="preserve"> </w:t>
      </w:r>
      <w:r w:rsidR="008015BF" w:rsidRPr="001D0636">
        <w:t>prisoners</w:t>
      </w:r>
      <w:r w:rsidR="00E34E13" w:rsidRPr="001D0636">
        <w:t>.</w:t>
      </w:r>
      <w:r w:rsidR="008015BF" w:rsidRPr="001D0636">
        <w:t xml:space="preserve"> </w:t>
      </w:r>
      <w:r w:rsidR="00856743">
        <w:t xml:space="preserve"> </w:t>
      </w:r>
      <w:r w:rsidRPr="001D0636">
        <w:t>(article</w:t>
      </w:r>
      <w:r w:rsidR="00856743">
        <w:t>s</w:t>
      </w:r>
      <w:r w:rsidRPr="001D0636">
        <w:t xml:space="preserve"> 11 and 16)</w:t>
      </w:r>
    </w:p>
    <w:p w:rsidR="007A53F0" w:rsidRDefault="00E33F3A" w:rsidP="0013616B">
      <w:pPr>
        <w:pStyle w:val="SingleTxtG"/>
        <w:rPr>
          <w:b/>
          <w:bCs/>
        </w:rPr>
      </w:pPr>
      <w:r w:rsidRPr="008F4CAE">
        <w:rPr>
          <w:b/>
          <w:bCs/>
        </w:rPr>
        <w:lastRenderedPageBreak/>
        <w:t>The Committee recommends that the State party should take urgent measures to house remand prisoners</w:t>
      </w:r>
      <w:r w:rsidR="001834A0" w:rsidRPr="008F4CAE">
        <w:rPr>
          <w:b/>
          <w:bCs/>
        </w:rPr>
        <w:t xml:space="preserve"> separately from sentenced</w:t>
      </w:r>
      <w:r w:rsidR="000F0DA8" w:rsidRPr="008F4CAE">
        <w:rPr>
          <w:b/>
          <w:bCs/>
        </w:rPr>
        <w:t xml:space="preserve"> prisoners</w:t>
      </w:r>
      <w:r w:rsidRPr="008F4CAE">
        <w:rPr>
          <w:b/>
          <w:bCs/>
        </w:rPr>
        <w:t>.</w:t>
      </w:r>
      <w:r w:rsidR="00856743">
        <w:rPr>
          <w:b/>
          <w:bCs/>
        </w:rPr>
        <w:t xml:space="preserve"> </w:t>
      </w:r>
    </w:p>
    <w:p w:rsidR="007A53F0" w:rsidRDefault="005508FF" w:rsidP="005508FF">
      <w:pPr>
        <w:pStyle w:val="H23G"/>
      </w:pPr>
      <w:r>
        <w:tab/>
      </w:r>
      <w:r>
        <w:tab/>
      </w:r>
      <w:r w:rsidR="007A53F0">
        <w:t>Detention of refugees and asylum seekers</w:t>
      </w:r>
    </w:p>
    <w:p w:rsidR="007A53F0" w:rsidRPr="0013616B" w:rsidRDefault="007A53F0" w:rsidP="0013616B">
      <w:pPr>
        <w:pStyle w:val="SingleTxtG"/>
      </w:pPr>
      <w:r>
        <w:t>1</w:t>
      </w:r>
      <w:r w:rsidR="00E42FBC">
        <w:t>8</w:t>
      </w:r>
      <w:r>
        <w:t>.</w:t>
      </w:r>
      <w:r>
        <w:tab/>
        <w:t xml:space="preserve">The Committee is concerned at the placement of persons detained for immigration-related reasons in ordinary prison facilities together with convicted and remand prisoners. </w:t>
      </w:r>
      <w:r w:rsidRPr="001D0636">
        <w:t>(article</w:t>
      </w:r>
      <w:r>
        <w:t>s</w:t>
      </w:r>
      <w:r w:rsidRPr="001D0636">
        <w:t xml:space="preserve"> 11 and 16)</w:t>
      </w:r>
    </w:p>
    <w:p w:rsidR="00E33F3A" w:rsidRPr="008F4CAE" w:rsidRDefault="00856743" w:rsidP="00726F2F">
      <w:pPr>
        <w:pStyle w:val="SingleTxtG"/>
        <w:rPr>
          <w:b/>
          <w:bCs/>
        </w:rPr>
      </w:pPr>
      <w:r>
        <w:rPr>
          <w:b/>
          <w:bCs/>
        </w:rPr>
        <w:t xml:space="preserve">The Committee recommends that the State party should take measures to ensure that all persons detained for immigration-related reasons are held in facilities that are </w:t>
      </w:r>
      <w:r w:rsidR="00726F2F">
        <w:rPr>
          <w:b/>
          <w:bCs/>
        </w:rPr>
        <w:t>appropriate to their status</w:t>
      </w:r>
      <w:r>
        <w:rPr>
          <w:b/>
          <w:bCs/>
        </w:rPr>
        <w:t>.</w:t>
      </w:r>
    </w:p>
    <w:p w:rsidR="00854701" w:rsidRPr="001D0636" w:rsidRDefault="008F4CAE" w:rsidP="008F4CAE">
      <w:pPr>
        <w:pStyle w:val="H23G"/>
      </w:pPr>
      <w:r>
        <w:tab/>
      </w:r>
      <w:r>
        <w:tab/>
      </w:r>
      <w:r w:rsidR="00E33F3A" w:rsidRPr="001D0636">
        <w:t>Complaint</w:t>
      </w:r>
      <w:r w:rsidR="00854701" w:rsidRPr="001D0636">
        <w:t xml:space="preserve"> and investigation mechanisms</w:t>
      </w:r>
    </w:p>
    <w:p w:rsidR="00854701" w:rsidRPr="001D0636" w:rsidRDefault="001D0636" w:rsidP="00726F2F">
      <w:pPr>
        <w:pStyle w:val="SingleTxtG"/>
      </w:pPr>
      <w:r>
        <w:t>1</w:t>
      </w:r>
      <w:r w:rsidR="00726F2F">
        <w:t>9</w:t>
      </w:r>
      <w:r w:rsidR="00BF4A42" w:rsidRPr="001D0636">
        <w:t>.</w:t>
      </w:r>
      <w:r w:rsidR="00BF4A42" w:rsidRPr="001D0636">
        <w:tab/>
      </w:r>
      <w:r w:rsidR="00854701" w:rsidRPr="001D0636">
        <w:t xml:space="preserve">The Committee notes the information provided by the State party with regard to the investigation of </w:t>
      </w:r>
      <w:r w:rsidR="008E585D">
        <w:t>complaints</w:t>
      </w:r>
      <w:r w:rsidR="008E585D" w:rsidRPr="001D0636">
        <w:t xml:space="preserve"> </w:t>
      </w:r>
      <w:r w:rsidR="00854701" w:rsidRPr="001D0636">
        <w:t xml:space="preserve">by prisoners </w:t>
      </w:r>
      <w:r w:rsidR="008E585D">
        <w:t>against</w:t>
      </w:r>
      <w:r w:rsidR="00854701" w:rsidRPr="001D0636">
        <w:t xml:space="preserve"> prison staff which occurred in the following prisons: Portlaoise on 30 June 2009, Mountjoy on 15 June 2009 and 12 January 2010, </w:t>
      </w:r>
      <w:smartTag w:uri="urn:schemas-microsoft-com:office:smarttags" w:element="City">
        <w:r w:rsidR="00854701" w:rsidRPr="001D0636">
          <w:t>Cork</w:t>
        </w:r>
      </w:smartTag>
      <w:r w:rsidR="00854701" w:rsidRPr="001D0636">
        <w:t xml:space="preserve"> 16 December 2009, and </w:t>
      </w:r>
      <w:smartTag w:uri="urn:schemas-microsoft-com:office:smarttags" w:element="place">
        <w:r w:rsidR="00854701" w:rsidRPr="001D0636">
          <w:t>Midlands</w:t>
        </w:r>
      </w:smartTag>
      <w:r w:rsidR="00854701" w:rsidRPr="001D0636">
        <w:t xml:space="preserve"> on 7 June 2009. The Committee notes with concern that in all these cases there have been no independent and effective investigations into the allegations of ill-treatment by prison staff. The Inspector of Prison in his report of 10 September 2010 entitled “Guidance on best practice for dealing with prisoner</w:t>
      </w:r>
      <w:r w:rsidR="005A0FF6" w:rsidRPr="001D0636">
        <w:t>s</w:t>
      </w:r>
      <w:r w:rsidR="00854701" w:rsidRPr="001D0636">
        <w:t>’ complaints” concluded that there is no independent complaints and investigation body to investigate prisoners’ complaints; that present procedures followed do not accord with best practice; and he recommended the establishment of an independent mechanism to receive and investigate complaints against prison staff.</w:t>
      </w:r>
      <w:r w:rsidR="00DF3647" w:rsidRPr="001D0636">
        <w:t xml:space="preserve"> (articles 2, 12</w:t>
      </w:r>
      <w:r w:rsidR="00BF4A42" w:rsidRPr="001D0636">
        <w:t>, 13 and 16)</w:t>
      </w:r>
    </w:p>
    <w:p w:rsidR="00854701" w:rsidRPr="008F4CAE" w:rsidRDefault="00854701" w:rsidP="008F4CAE">
      <w:pPr>
        <w:pStyle w:val="SingleTxtG"/>
        <w:rPr>
          <w:b/>
          <w:bCs/>
        </w:rPr>
      </w:pPr>
      <w:r w:rsidRPr="008F4CAE">
        <w:rPr>
          <w:b/>
          <w:bCs/>
        </w:rPr>
        <w:t>The Committee recommends that the State party should:</w:t>
      </w:r>
    </w:p>
    <w:p w:rsidR="00854701" w:rsidRPr="008F4CAE" w:rsidRDefault="008F4CAE" w:rsidP="008F4CAE">
      <w:pPr>
        <w:pStyle w:val="SingleTxtG"/>
        <w:rPr>
          <w:b/>
          <w:bCs/>
        </w:rPr>
      </w:pPr>
      <w:r>
        <w:tab/>
        <w:t>(</w:t>
      </w:r>
      <w:r w:rsidRPr="008F4CAE">
        <w:rPr>
          <w:b/>
          <w:bCs/>
        </w:rPr>
        <w:t>a)</w:t>
      </w:r>
      <w:r w:rsidRPr="008F4CAE">
        <w:rPr>
          <w:b/>
          <w:bCs/>
        </w:rPr>
        <w:tab/>
      </w:r>
      <w:r>
        <w:rPr>
          <w:b/>
          <w:bCs/>
        </w:rPr>
        <w:t>E</w:t>
      </w:r>
      <w:r w:rsidR="00854701" w:rsidRPr="008F4CAE">
        <w:rPr>
          <w:b/>
          <w:bCs/>
        </w:rPr>
        <w:t>stablish an i</w:t>
      </w:r>
      <w:r w:rsidR="005A0FF6" w:rsidRPr="008F4CAE">
        <w:rPr>
          <w:b/>
          <w:bCs/>
        </w:rPr>
        <w:t>nde</w:t>
      </w:r>
      <w:r w:rsidR="0012442A" w:rsidRPr="008F4CAE">
        <w:rPr>
          <w:b/>
          <w:bCs/>
        </w:rPr>
        <w:t>pendent and effective complaint</w:t>
      </w:r>
      <w:r w:rsidR="00854701" w:rsidRPr="008F4CAE">
        <w:rPr>
          <w:b/>
          <w:bCs/>
        </w:rPr>
        <w:t xml:space="preserve"> </w:t>
      </w:r>
      <w:r w:rsidR="00B40DC8" w:rsidRPr="008F4CAE">
        <w:rPr>
          <w:b/>
          <w:bCs/>
        </w:rPr>
        <w:t xml:space="preserve">and investigation </w:t>
      </w:r>
      <w:r w:rsidR="00854701" w:rsidRPr="008F4CAE">
        <w:rPr>
          <w:b/>
          <w:bCs/>
        </w:rPr>
        <w:t xml:space="preserve">mechanism to facilitate the submission of complaints by victims of torture </w:t>
      </w:r>
      <w:r w:rsidR="00B40DC8" w:rsidRPr="008F4CAE">
        <w:rPr>
          <w:b/>
          <w:bCs/>
        </w:rPr>
        <w:t>and</w:t>
      </w:r>
      <w:r w:rsidR="00854701" w:rsidRPr="008F4CAE">
        <w:rPr>
          <w:b/>
          <w:bCs/>
        </w:rPr>
        <w:t xml:space="preserve"> ill-treatment </w:t>
      </w:r>
      <w:r w:rsidR="00B40DC8" w:rsidRPr="008F4CAE">
        <w:rPr>
          <w:b/>
          <w:bCs/>
        </w:rPr>
        <w:t>by prison staff</w:t>
      </w:r>
      <w:r w:rsidR="00917E8F" w:rsidRPr="008F4CAE">
        <w:rPr>
          <w:b/>
          <w:bCs/>
        </w:rPr>
        <w:t xml:space="preserve"> and</w:t>
      </w:r>
      <w:r w:rsidR="00854701" w:rsidRPr="008F4CAE">
        <w:rPr>
          <w:b/>
          <w:bCs/>
        </w:rPr>
        <w:t xml:space="preserve"> ensure that</w:t>
      </w:r>
      <w:r w:rsidR="00917E8F" w:rsidRPr="008F4CAE">
        <w:rPr>
          <w:b/>
          <w:bCs/>
        </w:rPr>
        <w:t xml:space="preserve"> in practice</w:t>
      </w:r>
      <w:r w:rsidR="00854701" w:rsidRPr="008F4CAE">
        <w:rPr>
          <w:b/>
          <w:bCs/>
        </w:rPr>
        <w:t xml:space="preserve"> complain</w:t>
      </w:r>
      <w:r w:rsidR="00917E8F" w:rsidRPr="008F4CAE">
        <w:rPr>
          <w:b/>
          <w:bCs/>
        </w:rPr>
        <w:t>an</w:t>
      </w:r>
      <w:r w:rsidR="00854701" w:rsidRPr="008F4CAE">
        <w:rPr>
          <w:b/>
          <w:bCs/>
        </w:rPr>
        <w:t>ts are protected against any intimidation or reprisals as a consequence of the complaints;</w:t>
      </w:r>
    </w:p>
    <w:p w:rsidR="00854701" w:rsidRPr="008F4CAE" w:rsidRDefault="008F4CAE" w:rsidP="008F4CAE">
      <w:pPr>
        <w:pStyle w:val="SingleTxtG"/>
        <w:rPr>
          <w:b/>
          <w:bCs/>
        </w:rPr>
      </w:pPr>
      <w:r>
        <w:tab/>
      </w:r>
      <w:r w:rsidRPr="008F4CAE">
        <w:rPr>
          <w:b/>
          <w:bCs/>
        </w:rPr>
        <w:t>(b)</w:t>
      </w:r>
      <w:r w:rsidRPr="008F4CAE">
        <w:rPr>
          <w:b/>
          <w:bCs/>
        </w:rPr>
        <w:tab/>
      </w:r>
      <w:r>
        <w:rPr>
          <w:b/>
          <w:bCs/>
        </w:rPr>
        <w:t>I</w:t>
      </w:r>
      <w:r w:rsidR="005A0FF6" w:rsidRPr="008F4CAE">
        <w:rPr>
          <w:b/>
          <w:bCs/>
        </w:rPr>
        <w:t>nstitute prompt, impartial and th</w:t>
      </w:r>
      <w:r w:rsidR="00854701" w:rsidRPr="008F4CAE">
        <w:rPr>
          <w:b/>
          <w:bCs/>
        </w:rPr>
        <w:t>o</w:t>
      </w:r>
      <w:r w:rsidR="005A0FF6" w:rsidRPr="008F4CAE">
        <w:rPr>
          <w:b/>
          <w:bCs/>
        </w:rPr>
        <w:t>ro</w:t>
      </w:r>
      <w:r w:rsidR="00854701" w:rsidRPr="008F4CAE">
        <w:rPr>
          <w:b/>
          <w:bCs/>
        </w:rPr>
        <w:t>ugh investigation</w:t>
      </w:r>
      <w:r w:rsidR="005A0FF6" w:rsidRPr="008F4CAE">
        <w:rPr>
          <w:b/>
          <w:bCs/>
        </w:rPr>
        <w:t>s</w:t>
      </w:r>
      <w:r w:rsidR="00854701" w:rsidRPr="008F4CAE">
        <w:rPr>
          <w:b/>
          <w:bCs/>
        </w:rPr>
        <w:t xml:space="preserve"> into all allegations of torture or ill-treatment by prison staff;</w:t>
      </w:r>
    </w:p>
    <w:p w:rsidR="00854701" w:rsidRPr="008F4CAE" w:rsidRDefault="008F4CAE" w:rsidP="006C3A64">
      <w:pPr>
        <w:pStyle w:val="SingleTxtG"/>
        <w:rPr>
          <w:b/>
          <w:bCs/>
        </w:rPr>
      </w:pPr>
      <w:r w:rsidRPr="008F4CAE">
        <w:rPr>
          <w:b/>
          <w:bCs/>
        </w:rPr>
        <w:tab/>
        <w:t>(c)</w:t>
      </w:r>
      <w:r w:rsidRPr="008F4CAE">
        <w:rPr>
          <w:b/>
          <w:bCs/>
        </w:rPr>
        <w:tab/>
      </w:r>
      <w:r>
        <w:rPr>
          <w:b/>
          <w:bCs/>
        </w:rPr>
        <w:t>E</w:t>
      </w:r>
      <w:r w:rsidR="00854701" w:rsidRPr="008F4CAE">
        <w:rPr>
          <w:b/>
          <w:bCs/>
        </w:rPr>
        <w:t xml:space="preserve">nsure that all officials </w:t>
      </w:r>
      <w:r w:rsidR="006C3A64">
        <w:rPr>
          <w:b/>
          <w:bCs/>
        </w:rPr>
        <w:t xml:space="preserve">that are </w:t>
      </w:r>
      <w:r w:rsidR="00854701" w:rsidRPr="008F4CAE">
        <w:rPr>
          <w:b/>
          <w:bCs/>
        </w:rPr>
        <w:t>alleged</w:t>
      </w:r>
      <w:r w:rsidR="006C3A64">
        <w:rPr>
          <w:b/>
          <w:bCs/>
        </w:rPr>
        <w:t>ly</w:t>
      </w:r>
      <w:r w:rsidR="00854701" w:rsidRPr="008F4CAE">
        <w:rPr>
          <w:b/>
          <w:bCs/>
        </w:rPr>
        <w:t xml:space="preserve"> involved in </w:t>
      </w:r>
      <w:r w:rsidR="006C3A64">
        <w:rPr>
          <w:b/>
          <w:bCs/>
        </w:rPr>
        <w:t xml:space="preserve">any </w:t>
      </w:r>
      <w:r w:rsidR="00854701" w:rsidRPr="008F4CAE">
        <w:rPr>
          <w:b/>
          <w:bCs/>
        </w:rPr>
        <w:t>violation</w:t>
      </w:r>
      <w:r w:rsidR="007A53F0">
        <w:rPr>
          <w:b/>
          <w:bCs/>
        </w:rPr>
        <w:t xml:space="preserve"> of Convention</w:t>
      </w:r>
      <w:r w:rsidR="00854701" w:rsidRPr="008F4CAE">
        <w:rPr>
          <w:b/>
          <w:bCs/>
        </w:rPr>
        <w:t xml:space="preserve"> are suspended from their duties during the conduct of the investigations</w:t>
      </w:r>
      <w:r w:rsidR="005A0FF6" w:rsidRPr="008F4CAE">
        <w:rPr>
          <w:b/>
          <w:bCs/>
        </w:rPr>
        <w:t xml:space="preserve">; and </w:t>
      </w:r>
    </w:p>
    <w:p w:rsidR="00854701" w:rsidRPr="008F4CAE" w:rsidRDefault="008F4CAE" w:rsidP="00E3073E">
      <w:pPr>
        <w:pStyle w:val="SingleTxtG"/>
        <w:rPr>
          <w:b/>
          <w:bCs/>
        </w:rPr>
      </w:pPr>
      <w:r w:rsidRPr="008F4CAE">
        <w:rPr>
          <w:b/>
          <w:bCs/>
        </w:rPr>
        <w:tab/>
        <w:t>(d)</w:t>
      </w:r>
      <w:r w:rsidRPr="008F4CAE">
        <w:rPr>
          <w:b/>
          <w:bCs/>
        </w:rPr>
        <w:tab/>
      </w:r>
      <w:r>
        <w:rPr>
          <w:b/>
          <w:bCs/>
        </w:rPr>
        <w:t>P</w:t>
      </w:r>
      <w:r w:rsidR="00854701" w:rsidRPr="008F4CAE">
        <w:rPr>
          <w:b/>
          <w:bCs/>
        </w:rPr>
        <w:t xml:space="preserve">rovide the Committee with information on the number of complaints made </w:t>
      </w:r>
      <w:r w:rsidR="00E3073E">
        <w:rPr>
          <w:b/>
          <w:bCs/>
        </w:rPr>
        <w:t>concerning</w:t>
      </w:r>
      <w:r w:rsidR="00854701" w:rsidRPr="008F4CAE">
        <w:rPr>
          <w:b/>
          <w:bCs/>
        </w:rPr>
        <w:t xml:space="preserve"> allegations of torture </w:t>
      </w:r>
      <w:r w:rsidR="00BA58E6">
        <w:rPr>
          <w:b/>
          <w:bCs/>
        </w:rPr>
        <w:t>and</w:t>
      </w:r>
      <w:r w:rsidR="00854701" w:rsidRPr="008F4CAE">
        <w:rPr>
          <w:b/>
          <w:bCs/>
        </w:rPr>
        <w:t xml:space="preserve"> ill-treatment by prison staff, the number of investigation</w:t>
      </w:r>
      <w:r w:rsidR="00E3073E">
        <w:rPr>
          <w:b/>
          <w:bCs/>
        </w:rPr>
        <w:t>s</w:t>
      </w:r>
      <w:r w:rsidR="00854701" w:rsidRPr="008F4CAE">
        <w:rPr>
          <w:b/>
          <w:bCs/>
        </w:rPr>
        <w:t xml:space="preserve"> carried out, the number of prosecutions and convictions as well as the redress awarded to victims.</w:t>
      </w:r>
    </w:p>
    <w:p w:rsidR="00310DA9" w:rsidRPr="001D0636" w:rsidRDefault="00E42FBC" w:rsidP="0091633B">
      <w:pPr>
        <w:pStyle w:val="SingleTxtG"/>
      </w:pPr>
      <w:r>
        <w:t>20</w:t>
      </w:r>
      <w:r w:rsidR="00310DA9" w:rsidRPr="001D0636">
        <w:t>.</w:t>
      </w:r>
      <w:r w:rsidR="00310DA9" w:rsidRPr="001D0636">
        <w:tab/>
        <w:t>The Committee welcomes the establishment of the Garda Siochana Ombudsman Commission</w:t>
      </w:r>
      <w:r w:rsidR="00A1505C">
        <w:t xml:space="preserve"> (GSOC)</w:t>
      </w:r>
      <w:r w:rsidR="00310DA9" w:rsidRPr="001D0636">
        <w:t xml:space="preserve"> in 2005</w:t>
      </w:r>
      <w:r w:rsidR="006C3A64">
        <w:t xml:space="preserve"> whose members cannot be serving members</w:t>
      </w:r>
      <w:r w:rsidR="00A1505C">
        <w:t xml:space="preserve"> or former members of the Police Force (Garda Siochana).</w:t>
      </w:r>
      <w:r w:rsidR="006C3A64">
        <w:t xml:space="preserve"> </w:t>
      </w:r>
      <w:r w:rsidR="00A1505C">
        <w:t xml:space="preserve">The GSOC </w:t>
      </w:r>
      <w:r w:rsidR="00310DA9" w:rsidRPr="001D0636">
        <w:t xml:space="preserve">is empowered to investigate complaints of torture and ill-treatment </w:t>
      </w:r>
      <w:r w:rsidR="00A1505C">
        <w:t>against</w:t>
      </w:r>
      <w:r w:rsidR="00310DA9" w:rsidRPr="001D0636">
        <w:t xml:space="preserve"> members of the </w:t>
      </w:r>
      <w:r w:rsidR="00A1505C">
        <w:t>Police Force (Garda Siochana)</w:t>
      </w:r>
      <w:r w:rsidR="00310DA9" w:rsidRPr="001D0636">
        <w:t xml:space="preserve">. However, the Committee regrets that the </w:t>
      </w:r>
      <w:r w:rsidR="00A1505C">
        <w:t>GSOC</w:t>
      </w:r>
      <w:r w:rsidR="00310DA9" w:rsidRPr="001D0636">
        <w:t xml:space="preserve"> can also refer complaints to the</w:t>
      </w:r>
      <w:r w:rsidR="00A1505C">
        <w:t xml:space="preserve"> Police</w:t>
      </w:r>
      <w:r w:rsidR="00A1505C" w:rsidRPr="001D0636">
        <w:t xml:space="preserve"> </w:t>
      </w:r>
      <w:r w:rsidR="00A1505C">
        <w:t>(</w:t>
      </w:r>
      <w:r w:rsidR="00310DA9" w:rsidRPr="001D0636">
        <w:t>Garda</w:t>
      </w:r>
      <w:r w:rsidR="00A1505C">
        <w:t xml:space="preserve">) </w:t>
      </w:r>
      <w:r w:rsidR="00310DA9" w:rsidRPr="001D0636">
        <w:t>Commissioner</w:t>
      </w:r>
      <w:r w:rsidR="00A1505C">
        <w:t>,</w:t>
      </w:r>
      <w:r w:rsidR="00310DA9" w:rsidRPr="001D0636">
        <w:t xml:space="preserve"> </w:t>
      </w:r>
      <w:r w:rsidR="00A1505C">
        <w:t>who can proceed with the investigation</w:t>
      </w:r>
      <w:r w:rsidR="0091633B">
        <w:t>s</w:t>
      </w:r>
      <w:r w:rsidR="00A1505C">
        <w:t xml:space="preserve"> independently or under the supervision of the GSOC,</w:t>
      </w:r>
      <w:r w:rsidR="00310DA9" w:rsidRPr="001D0636">
        <w:t xml:space="preserve"> except complaints concerning the death of or serious harm to a person in </w:t>
      </w:r>
      <w:r w:rsidR="00A1505C">
        <w:t xml:space="preserve">police </w:t>
      </w:r>
      <w:r w:rsidR="00310DA9" w:rsidRPr="001D0636">
        <w:t xml:space="preserve">custody. The Committee is also concerned at the information that the </w:t>
      </w:r>
      <w:r w:rsidR="009C064E">
        <w:t xml:space="preserve">GSOC </w:t>
      </w:r>
      <w:r w:rsidR="00310DA9" w:rsidRPr="001D0636">
        <w:t>has submitted proposals for the amendment of the Garda Siochana</w:t>
      </w:r>
      <w:r w:rsidR="009C064E">
        <w:t xml:space="preserve"> </w:t>
      </w:r>
      <w:r w:rsidR="00310DA9" w:rsidRPr="001D0636">
        <w:t xml:space="preserve">Act 2005 in a number of areas including the power to allow the </w:t>
      </w:r>
      <w:r w:rsidR="009C064E">
        <w:t>GSOC to refer back investigations to the Police Force (</w:t>
      </w:r>
      <w:r w:rsidR="00310DA9" w:rsidRPr="001D0636">
        <w:t>Garda Siochana</w:t>
      </w:r>
      <w:r w:rsidR="009C064E">
        <w:t>), thereby allowing the police to investigate itself</w:t>
      </w:r>
      <w:r w:rsidR="00310DA9" w:rsidRPr="001D0636">
        <w:t>. (articles 2, 12, 13 and 16)</w:t>
      </w:r>
    </w:p>
    <w:p w:rsidR="00854701" w:rsidRPr="008F4CAE" w:rsidRDefault="00310DA9" w:rsidP="00B92388">
      <w:pPr>
        <w:pStyle w:val="SingleTxtG"/>
        <w:rPr>
          <w:b/>
          <w:bCs/>
        </w:rPr>
      </w:pPr>
      <w:r w:rsidRPr="008F4CAE">
        <w:rPr>
          <w:b/>
          <w:bCs/>
        </w:rPr>
        <w:lastRenderedPageBreak/>
        <w:t xml:space="preserve">The Committee recommends that the State party should ensure by law that all allegations of torture and ill-treatment by the police are directly investigated by the Garda Siochana Ombudsman Commission and that sufficient funds are allocated to the Commission so as to enable it to carry out its duties promptly and impartially and to deal with the backlog of complaints and investigations which has accumulated. The Committee also requests the State party to provide it with statistical data on </w:t>
      </w:r>
      <w:r w:rsidR="006E39E2">
        <w:rPr>
          <w:b/>
          <w:bCs/>
        </w:rPr>
        <w:t xml:space="preserve">(a) </w:t>
      </w:r>
      <w:r w:rsidRPr="008F4CAE">
        <w:rPr>
          <w:b/>
          <w:bCs/>
        </w:rPr>
        <w:t xml:space="preserve">the number of complaints of torture and ill-treatment filed against prison officers, the number of investigations instituted, </w:t>
      </w:r>
      <w:r w:rsidR="00DE0B94" w:rsidRPr="008F4CAE">
        <w:rPr>
          <w:b/>
          <w:bCs/>
        </w:rPr>
        <w:t xml:space="preserve">and </w:t>
      </w:r>
      <w:r w:rsidRPr="008F4CAE">
        <w:rPr>
          <w:b/>
          <w:bCs/>
        </w:rPr>
        <w:t>the number of prosecutions and convictions imposed</w:t>
      </w:r>
      <w:r w:rsidR="006E39E2">
        <w:rPr>
          <w:b/>
          <w:bCs/>
        </w:rPr>
        <w:t xml:space="preserve">; and (b) the number of cases that have been </w:t>
      </w:r>
      <w:r w:rsidR="00511AB1">
        <w:rPr>
          <w:b/>
          <w:bCs/>
        </w:rPr>
        <w:t>referred to</w:t>
      </w:r>
      <w:r w:rsidR="006E39E2">
        <w:rPr>
          <w:b/>
          <w:bCs/>
        </w:rPr>
        <w:t xml:space="preserve"> the </w:t>
      </w:r>
      <w:r w:rsidR="00436852">
        <w:rPr>
          <w:b/>
          <w:bCs/>
        </w:rPr>
        <w:t>Police Force (</w:t>
      </w:r>
      <w:r w:rsidR="006E39E2">
        <w:rPr>
          <w:b/>
          <w:bCs/>
        </w:rPr>
        <w:t>Garda</w:t>
      </w:r>
      <w:r w:rsidR="00511AB1">
        <w:rPr>
          <w:b/>
          <w:bCs/>
        </w:rPr>
        <w:t xml:space="preserve"> Siochana</w:t>
      </w:r>
      <w:r w:rsidR="00436852">
        <w:rPr>
          <w:b/>
          <w:bCs/>
        </w:rPr>
        <w:t>)</w:t>
      </w:r>
      <w:r w:rsidRPr="008F4CAE">
        <w:rPr>
          <w:b/>
          <w:bCs/>
        </w:rPr>
        <w:t>.</w:t>
      </w:r>
      <w:r w:rsidR="008F4CAE">
        <w:tab/>
      </w:r>
    </w:p>
    <w:p w:rsidR="00854701" w:rsidRPr="001D0636" w:rsidRDefault="008F4CAE" w:rsidP="00BF63E2">
      <w:pPr>
        <w:pStyle w:val="H23G"/>
      </w:pPr>
      <w:r>
        <w:tab/>
      </w:r>
      <w:r>
        <w:tab/>
      </w:r>
      <w:r w:rsidR="000C31E7">
        <w:t xml:space="preserve">Follow-up </w:t>
      </w:r>
      <w:r w:rsidR="00BF63E2">
        <w:t>to</w:t>
      </w:r>
      <w:r w:rsidR="000C31E7">
        <w:t xml:space="preserve"> the Ryan report</w:t>
      </w:r>
    </w:p>
    <w:p w:rsidR="00854701" w:rsidRPr="001D0636" w:rsidRDefault="00E42FBC" w:rsidP="0080010B">
      <w:pPr>
        <w:pStyle w:val="SingleTxtG"/>
      </w:pPr>
      <w:r>
        <w:t>21</w:t>
      </w:r>
      <w:r w:rsidR="00152E5B" w:rsidRPr="001D0636">
        <w:t>.</w:t>
      </w:r>
      <w:r w:rsidR="00152E5B" w:rsidRPr="001D0636">
        <w:tab/>
      </w:r>
      <w:r w:rsidR="00854701" w:rsidRPr="001D0636">
        <w:t xml:space="preserve">The Committee notes the efforts made </w:t>
      </w:r>
      <w:r w:rsidR="00785398" w:rsidRPr="001D0636">
        <w:t xml:space="preserve">by the State party </w:t>
      </w:r>
      <w:r w:rsidR="00D53F62">
        <w:t xml:space="preserve">concerning </w:t>
      </w:r>
      <w:r w:rsidR="00854701" w:rsidRPr="001D0636">
        <w:t xml:space="preserve">the plan </w:t>
      </w:r>
      <w:r w:rsidR="00785398" w:rsidRPr="001D0636">
        <w:t xml:space="preserve">it had </w:t>
      </w:r>
      <w:r w:rsidR="00854701" w:rsidRPr="001D0636">
        <w:t>ado</w:t>
      </w:r>
      <w:r w:rsidR="00785398" w:rsidRPr="001D0636">
        <w:t>pted</w:t>
      </w:r>
      <w:r w:rsidR="00854701" w:rsidRPr="001D0636">
        <w:t xml:space="preserve"> in 2009 in order to implement the recommendations of the Report of the Commission to Inquire into Child Abuse since 1936 (CICA)</w:t>
      </w:r>
      <w:r w:rsidR="00216D52" w:rsidRPr="001D0636">
        <w:t>,</w:t>
      </w:r>
      <w:r w:rsidR="00152E5B" w:rsidRPr="001D0636">
        <w:t xml:space="preserve"> known as the Ryan Report</w:t>
      </w:r>
      <w:r w:rsidR="00854701" w:rsidRPr="001D0636">
        <w:t xml:space="preserve">. However, </w:t>
      </w:r>
      <w:r w:rsidR="00785398" w:rsidRPr="001D0636">
        <w:t>the Committee</w:t>
      </w:r>
      <w:r w:rsidR="00854701" w:rsidRPr="001D0636">
        <w:t xml:space="preserve"> is concerned that</w:t>
      </w:r>
      <w:r w:rsidR="00750AFB" w:rsidRPr="001D0636">
        <w:t>,</w:t>
      </w:r>
      <w:r w:rsidR="00854701" w:rsidRPr="001D0636">
        <w:t xml:space="preserve"> according to the Statement by the Ombudsman for Children in March 2011, </w:t>
      </w:r>
      <w:r w:rsidR="00216D52" w:rsidRPr="001D0636">
        <w:t>significant</w:t>
      </w:r>
      <w:r w:rsidR="00854701" w:rsidRPr="001D0636">
        <w:t xml:space="preserve"> commitments under the plan have yet to be implemented. The Committee is </w:t>
      </w:r>
      <w:r w:rsidR="009017D4">
        <w:t xml:space="preserve">also </w:t>
      </w:r>
      <w:r w:rsidR="00854701" w:rsidRPr="001D0636">
        <w:t xml:space="preserve">gravely concerned </w:t>
      </w:r>
      <w:r w:rsidR="009017D4" w:rsidRPr="001D0636">
        <w:t>that despite the findings of the Ryan Report that ‘physical and emotional abuse and neglect were features of the institution</w:t>
      </w:r>
      <w:r w:rsidR="009017D4">
        <w:t>s</w:t>
      </w:r>
      <w:r w:rsidR="009017D4" w:rsidRPr="001D0636">
        <w:t xml:space="preserve"> and that </w:t>
      </w:r>
      <w:r w:rsidR="00684476">
        <w:t xml:space="preserve">sexual </w:t>
      </w:r>
      <w:r w:rsidR="009017D4" w:rsidRPr="001D0636">
        <w:t xml:space="preserve">abuse occurred in many of them, particularly boys’ institutions”, </w:t>
      </w:r>
      <w:r w:rsidR="009017D4">
        <w:t xml:space="preserve">there has been no follow up by the State party. The Committee is also concerned that despite the </w:t>
      </w:r>
      <w:r w:rsidR="009017D4" w:rsidRPr="001D0636">
        <w:t>extensive evidence gathered by the Commission, the State party has f</w:t>
      </w:r>
      <w:r w:rsidR="009017D4">
        <w:t xml:space="preserve">orwarded </w:t>
      </w:r>
      <w:r w:rsidR="009017D4" w:rsidRPr="001D0636">
        <w:t xml:space="preserve">only </w:t>
      </w:r>
      <w:r w:rsidR="00DF2C8A">
        <w:t>elevan</w:t>
      </w:r>
      <w:r w:rsidR="009017D4" w:rsidRPr="001D0636">
        <w:t xml:space="preserve"> </w:t>
      </w:r>
      <w:r w:rsidR="009017D4">
        <w:t xml:space="preserve">cases to prosecution out </w:t>
      </w:r>
      <w:r w:rsidR="006A10E7">
        <w:t xml:space="preserve">of which </w:t>
      </w:r>
      <w:r w:rsidR="009017D4">
        <w:t xml:space="preserve">8 </w:t>
      </w:r>
      <w:r w:rsidR="006A10E7">
        <w:t>were</w:t>
      </w:r>
      <w:r w:rsidR="009017D4">
        <w:t xml:space="preserve"> rejected</w:t>
      </w:r>
      <w:r w:rsidR="0073515F">
        <w:t xml:space="preserve">. </w:t>
      </w:r>
      <w:r w:rsidR="00152E5B" w:rsidRPr="001D0636">
        <w:t>(articles 12, 13</w:t>
      </w:r>
      <w:r w:rsidR="00750AFB" w:rsidRPr="001D0636">
        <w:t>,14</w:t>
      </w:r>
      <w:r w:rsidR="00152E5B" w:rsidRPr="001D0636">
        <w:t xml:space="preserve"> and 1</w:t>
      </w:r>
      <w:r w:rsidR="00750AFB" w:rsidRPr="001D0636">
        <w:t>6</w:t>
      </w:r>
      <w:r w:rsidR="00152E5B" w:rsidRPr="001D0636">
        <w:t>)</w:t>
      </w:r>
    </w:p>
    <w:p w:rsidR="00854701" w:rsidRPr="00752B93" w:rsidRDefault="00854701" w:rsidP="00E66BB6">
      <w:pPr>
        <w:pStyle w:val="SingleTxtG"/>
        <w:rPr>
          <w:b/>
          <w:bCs/>
        </w:rPr>
      </w:pPr>
      <w:r w:rsidRPr="00752B93">
        <w:rPr>
          <w:b/>
          <w:bCs/>
        </w:rPr>
        <w:t xml:space="preserve">The Committee </w:t>
      </w:r>
      <w:r w:rsidR="00E66BB6">
        <w:rPr>
          <w:b/>
          <w:bCs/>
        </w:rPr>
        <w:t xml:space="preserve">recommends that </w:t>
      </w:r>
      <w:r w:rsidRPr="00752B93">
        <w:rPr>
          <w:b/>
          <w:bCs/>
        </w:rPr>
        <w:t>the State party</w:t>
      </w:r>
      <w:r w:rsidR="00E66BB6">
        <w:rPr>
          <w:b/>
          <w:bCs/>
        </w:rPr>
        <w:t xml:space="preserve"> should</w:t>
      </w:r>
      <w:r w:rsidRPr="00752B93">
        <w:rPr>
          <w:b/>
          <w:bCs/>
        </w:rPr>
        <w:t>:</w:t>
      </w:r>
    </w:p>
    <w:p w:rsidR="00854701" w:rsidRPr="00752B93" w:rsidRDefault="00752B93" w:rsidP="00752B93">
      <w:pPr>
        <w:pStyle w:val="SingleTxtG"/>
        <w:rPr>
          <w:b/>
          <w:bCs/>
        </w:rPr>
      </w:pPr>
      <w:r>
        <w:rPr>
          <w:b/>
          <w:bCs/>
        </w:rPr>
        <w:tab/>
        <w:t>(</w:t>
      </w:r>
      <w:r w:rsidR="008F4CAE" w:rsidRPr="00752B93">
        <w:rPr>
          <w:b/>
          <w:bCs/>
        </w:rPr>
        <w:t>a)</w:t>
      </w:r>
      <w:r w:rsidR="008F4CAE" w:rsidRPr="00752B93">
        <w:rPr>
          <w:b/>
          <w:bCs/>
        </w:rPr>
        <w:tab/>
      </w:r>
      <w:r>
        <w:rPr>
          <w:b/>
          <w:bCs/>
        </w:rPr>
        <w:t>I</w:t>
      </w:r>
      <w:r w:rsidR="00854701" w:rsidRPr="00752B93">
        <w:rPr>
          <w:b/>
          <w:bCs/>
        </w:rPr>
        <w:t xml:space="preserve">ndicate how it proposes to implement </w:t>
      </w:r>
      <w:r w:rsidR="00B92388">
        <w:rPr>
          <w:b/>
          <w:bCs/>
        </w:rPr>
        <w:t xml:space="preserve">all </w:t>
      </w:r>
      <w:r w:rsidR="00854701" w:rsidRPr="00752B93">
        <w:rPr>
          <w:b/>
          <w:bCs/>
        </w:rPr>
        <w:t>the recommendations of the Commission to Inquire into Child Abu</w:t>
      </w:r>
      <w:r w:rsidR="00920D6A" w:rsidRPr="00752B93">
        <w:rPr>
          <w:b/>
          <w:bCs/>
        </w:rPr>
        <w:t>se (CICA) and indicate the timeframe</w:t>
      </w:r>
      <w:r w:rsidR="00854701" w:rsidRPr="00752B93">
        <w:rPr>
          <w:b/>
          <w:bCs/>
        </w:rPr>
        <w:t xml:space="preserve"> for achieving them;</w:t>
      </w:r>
    </w:p>
    <w:p w:rsidR="00854701" w:rsidRPr="00752B93" w:rsidRDefault="00752B93" w:rsidP="00F059C1">
      <w:pPr>
        <w:pStyle w:val="SingleTxtG"/>
        <w:rPr>
          <w:b/>
          <w:bCs/>
        </w:rPr>
      </w:pPr>
      <w:r>
        <w:rPr>
          <w:b/>
          <w:bCs/>
        </w:rPr>
        <w:tab/>
        <w:t>(</w:t>
      </w:r>
      <w:r w:rsidR="008F4CAE" w:rsidRPr="00752B93">
        <w:rPr>
          <w:b/>
          <w:bCs/>
        </w:rPr>
        <w:t>b)</w:t>
      </w:r>
      <w:r w:rsidR="008F4CAE" w:rsidRPr="00752B93">
        <w:rPr>
          <w:b/>
          <w:bCs/>
        </w:rPr>
        <w:tab/>
      </w:r>
      <w:r>
        <w:rPr>
          <w:b/>
          <w:bCs/>
        </w:rPr>
        <w:t>I</w:t>
      </w:r>
      <w:r w:rsidR="00854701" w:rsidRPr="00752B93">
        <w:rPr>
          <w:b/>
          <w:bCs/>
        </w:rPr>
        <w:t xml:space="preserve">nstitute </w:t>
      </w:r>
      <w:r w:rsidR="00750AFB" w:rsidRPr="00752B93">
        <w:rPr>
          <w:b/>
          <w:bCs/>
        </w:rPr>
        <w:t xml:space="preserve">prompt, </w:t>
      </w:r>
      <w:r w:rsidR="00920D6A" w:rsidRPr="00752B93">
        <w:rPr>
          <w:b/>
          <w:bCs/>
        </w:rPr>
        <w:t xml:space="preserve">independent </w:t>
      </w:r>
      <w:r w:rsidR="00750AFB" w:rsidRPr="00752B93">
        <w:rPr>
          <w:b/>
          <w:bCs/>
        </w:rPr>
        <w:t xml:space="preserve">and thorough </w:t>
      </w:r>
      <w:r w:rsidR="00854701" w:rsidRPr="00752B93">
        <w:rPr>
          <w:b/>
          <w:bCs/>
        </w:rPr>
        <w:t xml:space="preserve">investigations </w:t>
      </w:r>
      <w:r w:rsidR="00750AFB" w:rsidRPr="00752B93">
        <w:rPr>
          <w:b/>
          <w:bCs/>
        </w:rPr>
        <w:t xml:space="preserve">into all </w:t>
      </w:r>
      <w:r w:rsidR="00854701" w:rsidRPr="00752B93">
        <w:rPr>
          <w:b/>
          <w:bCs/>
        </w:rPr>
        <w:t xml:space="preserve">cases </w:t>
      </w:r>
      <w:r w:rsidR="00920D6A" w:rsidRPr="00752B93">
        <w:rPr>
          <w:b/>
          <w:bCs/>
        </w:rPr>
        <w:t xml:space="preserve">of abuse as </w:t>
      </w:r>
      <w:r w:rsidR="00854701" w:rsidRPr="00752B93">
        <w:rPr>
          <w:b/>
          <w:bCs/>
        </w:rPr>
        <w:t>found by the report</w:t>
      </w:r>
      <w:r w:rsidR="00920D6A" w:rsidRPr="00752B93">
        <w:rPr>
          <w:b/>
          <w:bCs/>
        </w:rPr>
        <w:t>, and if appropriate, prosecute and punish perpetrators</w:t>
      </w:r>
      <w:r w:rsidR="00854701" w:rsidRPr="00752B93">
        <w:rPr>
          <w:b/>
          <w:bCs/>
        </w:rPr>
        <w:t>;</w:t>
      </w:r>
    </w:p>
    <w:p w:rsidR="00854701" w:rsidRDefault="00752B93" w:rsidP="00752B93">
      <w:pPr>
        <w:pStyle w:val="SingleTxtG"/>
        <w:rPr>
          <w:b/>
          <w:bCs/>
        </w:rPr>
      </w:pPr>
      <w:r>
        <w:rPr>
          <w:b/>
          <w:bCs/>
        </w:rPr>
        <w:tab/>
        <w:t>(</w:t>
      </w:r>
      <w:r w:rsidR="008F4CAE" w:rsidRPr="00752B93">
        <w:rPr>
          <w:b/>
          <w:bCs/>
        </w:rPr>
        <w:t>c)</w:t>
      </w:r>
      <w:r w:rsidR="008F4CAE" w:rsidRPr="00752B93">
        <w:rPr>
          <w:b/>
          <w:bCs/>
        </w:rPr>
        <w:tab/>
      </w:r>
      <w:r>
        <w:rPr>
          <w:b/>
          <w:bCs/>
        </w:rPr>
        <w:t>E</w:t>
      </w:r>
      <w:r w:rsidR="00854701" w:rsidRPr="00752B93">
        <w:rPr>
          <w:b/>
          <w:bCs/>
        </w:rPr>
        <w:t>nsure that all victims of abuse obtain redress and have an enforceable right to compensation including the means for as full rehabilitation as possible.</w:t>
      </w:r>
    </w:p>
    <w:p w:rsidR="00F059C1" w:rsidRPr="00752B93" w:rsidRDefault="00F059C1" w:rsidP="00752B93">
      <w:pPr>
        <w:pStyle w:val="SingleTxtG"/>
        <w:rPr>
          <w:b/>
          <w:bCs/>
        </w:rPr>
      </w:pPr>
      <w:r>
        <w:rPr>
          <w:b/>
          <w:bCs/>
        </w:rPr>
        <w:t>Magdalene Laundries</w:t>
      </w:r>
    </w:p>
    <w:p w:rsidR="00E77091" w:rsidRPr="001D0636" w:rsidRDefault="001D0636" w:rsidP="001316BB">
      <w:pPr>
        <w:pStyle w:val="SingleTxtG"/>
      </w:pPr>
      <w:r>
        <w:t>2</w:t>
      </w:r>
      <w:r w:rsidR="00E42FBC">
        <w:t>2</w:t>
      </w:r>
      <w:r w:rsidR="00B8679F" w:rsidRPr="001D0636">
        <w:t>.</w:t>
      </w:r>
      <w:r w:rsidR="00B8679F" w:rsidRPr="001D0636">
        <w:tab/>
      </w:r>
      <w:r w:rsidR="00BC63C8">
        <w:t xml:space="preserve">The Committee is gravely concerned at the failure by the State party to protect girls and women who were </w:t>
      </w:r>
      <w:r w:rsidR="00D049D8">
        <w:t>involuntarily confined</w:t>
      </w:r>
      <w:r w:rsidR="00BC63C8">
        <w:t xml:space="preserve"> between 1922 and 1996 in the Magdalene Laundries</w:t>
      </w:r>
      <w:r w:rsidR="00EF5E90">
        <w:t>,</w:t>
      </w:r>
      <w:r w:rsidR="00BC63C8">
        <w:t xml:space="preserve"> by failing to regulate </w:t>
      </w:r>
      <w:r w:rsidR="00D049D8">
        <w:t>their operations and inspect them</w:t>
      </w:r>
      <w:r w:rsidR="00EF5E90">
        <w:t>,</w:t>
      </w:r>
      <w:r w:rsidR="00500009">
        <w:t xml:space="preserve"> where it </w:t>
      </w:r>
      <w:r w:rsidR="002837C9">
        <w:t xml:space="preserve">is </w:t>
      </w:r>
      <w:r w:rsidR="00500009">
        <w:t>alleged that physical, emotional abuse</w:t>
      </w:r>
      <w:r w:rsidR="002837C9">
        <w:t>s</w:t>
      </w:r>
      <w:r w:rsidR="00500009">
        <w:t xml:space="preserve"> and other ill-treatment were committed</w:t>
      </w:r>
      <w:r w:rsidR="002837C9">
        <w:t xml:space="preserve"> amounting to breaches of the Convention</w:t>
      </w:r>
      <w:r w:rsidR="00500009">
        <w:t xml:space="preserve">. </w:t>
      </w:r>
      <w:r w:rsidR="00B8679F" w:rsidRPr="001D0636">
        <w:t xml:space="preserve">The Committee </w:t>
      </w:r>
      <w:r w:rsidR="00500009">
        <w:t xml:space="preserve">is </w:t>
      </w:r>
      <w:r w:rsidR="00750AFB" w:rsidRPr="001D0636">
        <w:t xml:space="preserve">also </w:t>
      </w:r>
      <w:r w:rsidR="00B8679F" w:rsidRPr="001D0636">
        <w:t>expresses grave concern at the failure by the State party to institute</w:t>
      </w:r>
      <w:r w:rsidR="00750AFB" w:rsidRPr="001D0636">
        <w:t xml:space="preserve"> prompt, </w:t>
      </w:r>
      <w:r w:rsidR="00920D6A" w:rsidRPr="001D0636">
        <w:t xml:space="preserve">independent and </w:t>
      </w:r>
      <w:r w:rsidR="00750AFB" w:rsidRPr="001D0636">
        <w:t>thorough investigation</w:t>
      </w:r>
      <w:r w:rsidR="00B8679F" w:rsidRPr="001D0636">
        <w:t xml:space="preserve"> into the allegations of</w:t>
      </w:r>
      <w:r w:rsidR="002A4364" w:rsidRPr="001D0636">
        <w:t xml:space="preserve"> </w:t>
      </w:r>
      <w:r w:rsidR="00B8679F" w:rsidRPr="001D0636">
        <w:t>ill-treatment perpetrated on girls and women in the Magdalene Laundries.</w:t>
      </w:r>
      <w:r w:rsidR="00BC63C8">
        <w:t xml:space="preserve"> </w:t>
      </w:r>
      <w:r w:rsidR="00E77091" w:rsidRPr="001D0636">
        <w:t xml:space="preserve"> (articles</w:t>
      </w:r>
      <w:r w:rsidR="003E1F20" w:rsidRPr="001D0636">
        <w:t xml:space="preserve"> 2,</w:t>
      </w:r>
      <w:r w:rsidR="00E77091" w:rsidRPr="001D0636">
        <w:t xml:space="preserve"> 12, </w:t>
      </w:r>
      <w:r w:rsidR="002A4364" w:rsidRPr="001D0636">
        <w:t xml:space="preserve">13, </w:t>
      </w:r>
      <w:r w:rsidR="00E77091" w:rsidRPr="001D0636">
        <w:t>14 and 16)</w:t>
      </w:r>
    </w:p>
    <w:p w:rsidR="00E77091" w:rsidRPr="00752B93" w:rsidRDefault="00E77091" w:rsidP="00993F6E">
      <w:pPr>
        <w:pStyle w:val="SingleTxtG"/>
        <w:rPr>
          <w:rFonts w:eastAsia="SimSun"/>
          <w:b/>
          <w:bCs/>
          <w:lang w:val="en-US" w:eastAsia="zh-CN"/>
        </w:rPr>
      </w:pPr>
      <w:r w:rsidRPr="00752B93">
        <w:rPr>
          <w:rFonts w:eastAsia="SimSun"/>
          <w:b/>
          <w:bCs/>
          <w:lang w:val="en-US" w:eastAsia="zh-CN"/>
        </w:rPr>
        <w:t xml:space="preserve">The Committee </w:t>
      </w:r>
      <w:r w:rsidR="00E66BB6">
        <w:rPr>
          <w:rFonts w:eastAsia="SimSun"/>
          <w:b/>
          <w:bCs/>
          <w:lang w:val="en-US" w:eastAsia="zh-CN"/>
        </w:rPr>
        <w:t>recommends that</w:t>
      </w:r>
      <w:r w:rsidR="00E66BB6" w:rsidRPr="00752B93">
        <w:rPr>
          <w:rFonts w:eastAsia="SimSun"/>
          <w:b/>
          <w:bCs/>
          <w:lang w:val="en-US" w:eastAsia="zh-CN"/>
        </w:rPr>
        <w:t xml:space="preserve"> </w:t>
      </w:r>
      <w:r w:rsidRPr="00752B93">
        <w:rPr>
          <w:rFonts w:eastAsia="SimSun"/>
          <w:b/>
          <w:bCs/>
          <w:lang w:val="en-US" w:eastAsia="zh-CN"/>
        </w:rPr>
        <w:t xml:space="preserve">the State party </w:t>
      </w:r>
      <w:r w:rsidR="00E66BB6">
        <w:rPr>
          <w:rFonts w:eastAsia="SimSun"/>
          <w:b/>
          <w:bCs/>
          <w:lang w:val="en-US" w:eastAsia="zh-CN"/>
        </w:rPr>
        <w:t>should</w:t>
      </w:r>
      <w:r w:rsidR="00E66BB6" w:rsidRPr="00752B93">
        <w:rPr>
          <w:rFonts w:eastAsia="SimSun"/>
          <w:b/>
          <w:bCs/>
          <w:lang w:val="en-US" w:eastAsia="zh-CN"/>
        </w:rPr>
        <w:t xml:space="preserve"> </w:t>
      </w:r>
      <w:r w:rsidR="003E1F20" w:rsidRPr="00752B93">
        <w:rPr>
          <w:rFonts w:eastAsia="SimSun"/>
          <w:b/>
          <w:bCs/>
          <w:lang w:val="en-US" w:eastAsia="zh-CN"/>
        </w:rPr>
        <w:t xml:space="preserve">institute </w:t>
      </w:r>
      <w:r w:rsidRPr="00752B93">
        <w:rPr>
          <w:rFonts w:eastAsia="SimSun"/>
          <w:b/>
          <w:bCs/>
          <w:lang w:val="en-US" w:eastAsia="zh-CN"/>
        </w:rPr>
        <w:t>prompt</w:t>
      </w:r>
      <w:r w:rsidR="002A4364" w:rsidRPr="00752B93">
        <w:rPr>
          <w:rFonts w:eastAsia="SimSun"/>
          <w:b/>
          <w:bCs/>
          <w:lang w:val="en-US" w:eastAsia="zh-CN"/>
        </w:rPr>
        <w:t xml:space="preserve">, </w:t>
      </w:r>
      <w:r w:rsidR="001030FA" w:rsidRPr="00752B93">
        <w:rPr>
          <w:rFonts w:eastAsia="SimSun"/>
          <w:b/>
          <w:bCs/>
          <w:lang w:val="en-US" w:eastAsia="zh-CN"/>
        </w:rPr>
        <w:t>independent, and thorough</w:t>
      </w:r>
      <w:r w:rsidRPr="00752B93">
        <w:rPr>
          <w:rFonts w:eastAsia="SimSun"/>
          <w:b/>
          <w:bCs/>
          <w:lang w:val="en-US" w:eastAsia="zh-CN"/>
        </w:rPr>
        <w:t xml:space="preserve"> investigation</w:t>
      </w:r>
      <w:r w:rsidR="001030FA" w:rsidRPr="00752B93">
        <w:rPr>
          <w:rFonts w:eastAsia="SimSun"/>
          <w:b/>
          <w:bCs/>
          <w:lang w:val="en-US" w:eastAsia="zh-CN"/>
        </w:rPr>
        <w:t>s</w:t>
      </w:r>
      <w:r w:rsidRPr="00752B93">
        <w:rPr>
          <w:rFonts w:eastAsia="SimSun"/>
          <w:b/>
          <w:bCs/>
          <w:lang w:val="en-US" w:eastAsia="zh-CN"/>
        </w:rPr>
        <w:t xml:space="preserve"> into all allegations</w:t>
      </w:r>
      <w:r w:rsidR="001030FA" w:rsidRPr="00752B93">
        <w:rPr>
          <w:rFonts w:eastAsia="SimSun"/>
          <w:b/>
          <w:bCs/>
          <w:lang w:val="en-US" w:eastAsia="zh-CN"/>
        </w:rPr>
        <w:t xml:space="preserve"> of</w:t>
      </w:r>
      <w:r w:rsidR="00C61C58" w:rsidRPr="00752B93">
        <w:rPr>
          <w:rFonts w:eastAsia="SimSun"/>
          <w:b/>
          <w:bCs/>
          <w:lang w:val="en-US" w:eastAsia="zh-CN"/>
        </w:rPr>
        <w:t xml:space="preserve"> torture</w:t>
      </w:r>
      <w:r w:rsidR="00993F6E">
        <w:rPr>
          <w:rFonts w:eastAsia="SimSun"/>
          <w:b/>
          <w:bCs/>
          <w:lang w:val="en-US" w:eastAsia="zh-CN"/>
        </w:rPr>
        <w:t xml:space="preserve">, </w:t>
      </w:r>
      <w:r w:rsidR="00367C38">
        <w:rPr>
          <w:rFonts w:eastAsia="SimSun"/>
          <w:b/>
          <w:bCs/>
          <w:lang w:val="en-US" w:eastAsia="zh-CN"/>
        </w:rPr>
        <w:t xml:space="preserve">and other </w:t>
      </w:r>
      <w:r w:rsidR="00993F6E">
        <w:rPr>
          <w:rFonts w:eastAsia="SimSun"/>
          <w:b/>
          <w:bCs/>
          <w:lang w:val="en-US" w:eastAsia="zh-CN"/>
        </w:rPr>
        <w:t>cruel, inhuman</w:t>
      </w:r>
      <w:r w:rsidR="000301F6">
        <w:rPr>
          <w:rFonts w:eastAsia="SimSun"/>
          <w:b/>
          <w:bCs/>
          <w:lang w:val="en-US" w:eastAsia="zh-CN"/>
        </w:rPr>
        <w:t xml:space="preserve"> or </w:t>
      </w:r>
      <w:r w:rsidR="00993F6E">
        <w:rPr>
          <w:rFonts w:eastAsia="SimSun"/>
          <w:b/>
          <w:bCs/>
          <w:lang w:val="en-US" w:eastAsia="zh-CN"/>
        </w:rPr>
        <w:t>degrading treatment or punishment</w:t>
      </w:r>
      <w:r w:rsidRPr="00752B93">
        <w:rPr>
          <w:rFonts w:eastAsia="SimSun"/>
          <w:b/>
          <w:bCs/>
          <w:lang w:val="en-US" w:eastAsia="zh-CN"/>
        </w:rPr>
        <w:t xml:space="preserve"> that were allegedly committed in the Magdalene Laundries, and</w:t>
      </w:r>
      <w:r w:rsidR="00993F6E">
        <w:rPr>
          <w:rFonts w:eastAsia="SimSun"/>
          <w:b/>
          <w:bCs/>
          <w:lang w:val="en-US" w:eastAsia="zh-CN"/>
        </w:rPr>
        <w:t>,</w:t>
      </w:r>
      <w:r w:rsidRPr="00752B93">
        <w:rPr>
          <w:rFonts w:eastAsia="SimSun"/>
          <w:b/>
          <w:bCs/>
          <w:lang w:val="en-US" w:eastAsia="zh-CN"/>
        </w:rPr>
        <w:t xml:space="preserve"> in appropriate cases, p</w:t>
      </w:r>
      <w:r w:rsidR="003E1F20" w:rsidRPr="00752B93">
        <w:rPr>
          <w:rFonts w:eastAsia="SimSun"/>
          <w:b/>
          <w:bCs/>
          <w:lang w:val="en-US" w:eastAsia="zh-CN"/>
        </w:rPr>
        <w:t>rosecute and punish</w:t>
      </w:r>
      <w:r w:rsidRPr="00752B93">
        <w:rPr>
          <w:rFonts w:eastAsia="SimSun"/>
          <w:b/>
          <w:bCs/>
          <w:lang w:val="en-US" w:eastAsia="zh-CN"/>
        </w:rPr>
        <w:t xml:space="preserve"> the perpetrators with penalties commensurate with </w:t>
      </w:r>
      <w:r w:rsidR="00FE3DC0" w:rsidRPr="00752B93">
        <w:rPr>
          <w:rFonts w:eastAsia="SimSun"/>
          <w:b/>
          <w:bCs/>
          <w:lang w:val="en-US" w:eastAsia="zh-CN"/>
        </w:rPr>
        <w:t>the</w:t>
      </w:r>
      <w:r w:rsidRPr="00752B93">
        <w:rPr>
          <w:rFonts w:eastAsia="SimSun"/>
          <w:b/>
          <w:bCs/>
          <w:lang w:val="en-US" w:eastAsia="zh-CN"/>
        </w:rPr>
        <w:t xml:space="preserve"> gravity of the offences committed</w:t>
      </w:r>
      <w:r w:rsidR="002A5479" w:rsidRPr="00752B93">
        <w:rPr>
          <w:rFonts w:eastAsia="SimSun"/>
          <w:b/>
          <w:bCs/>
          <w:lang w:val="en-US" w:eastAsia="zh-CN"/>
        </w:rPr>
        <w:t>, and ensure that all victims obtain redress and have an enforceable right</w:t>
      </w:r>
      <w:r w:rsidR="001030FA" w:rsidRPr="00752B93">
        <w:rPr>
          <w:rFonts w:eastAsia="SimSun"/>
          <w:b/>
          <w:bCs/>
          <w:lang w:val="en-US" w:eastAsia="zh-CN"/>
        </w:rPr>
        <w:t xml:space="preserve"> to compensation </w:t>
      </w:r>
      <w:r w:rsidR="006E0BE3" w:rsidRPr="00752B93">
        <w:rPr>
          <w:rFonts w:eastAsia="SimSun"/>
          <w:b/>
          <w:bCs/>
          <w:lang w:val="en-US" w:eastAsia="zh-CN"/>
        </w:rPr>
        <w:t>including the means for as full rehabilitation as possible.</w:t>
      </w:r>
    </w:p>
    <w:p w:rsidR="001B4BC1" w:rsidRPr="001D0636" w:rsidRDefault="00752B93" w:rsidP="00752B93">
      <w:pPr>
        <w:pStyle w:val="H23G"/>
        <w:rPr>
          <w:rFonts w:eastAsia="SimSun"/>
          <w:lang w:val="en-US" w:eastAsia="zh-CN"/>
        </w:rPr>
      </w:pPr>
      <w:r>
        <w:rPr>
          <w:rFonts w:eastAsia="SimSun"/>
          <w:lang w:val="en-US" w:eastAsia="zh-CN"/>
        </w:rPr>
        <w:lastRenderedPageBreak/>
        <w:tab/>
      </w:r>
      <w:r>
        <w:rPr>
          <w:rFonts w:eastAsia="SimSun"/>
          <w:lang w:val="en-US" w:eastAsia="zh-CN"/>
        </w:rPr>
        <w:tab/>
      </w:r>
      <w:r w:rsidR="001B4BC1" w:rsidRPr="001D0636">
        <w:rPr>
          <w:rFonts w:eastAsia="SimSun"/>
          <w:lang w:val="en-US" w:eastAsia="zh-CN"/>
        </w:rPr>
        <w:t>Children in detention</w:t>
      </w:r>
    </w:p>
    <w:p w:rsidR="001B4BC1" w:rsidRPr="001D0636" w:rsidRDefault="00E82F52" w:rsidP="00E42FBC">
      <w:pPr>
        <w:pStyle w:val="SingleTxtG"/>
        <w:rPr>
          <w:rFonts w:eastAsia="SimSun"/>
          <w:lang w:val="en-US" w:eastAsia="zh-CN"/>
        </w:rPr>
      </w:pPr>
      <w:r w:rsidRPr="001D0636">
        <w:rPr>
          <w:rFonts w:eastAsia="SimSun"/>
          <w:lang w:val="en-US" w:eastAsia="zh-CN"/>
        </w:rPr>
        <w:t>2</w:t>
      </w:r>
      <w:r w:rsidR="00E42FBC">
        <w:rPr>
          <w:rFonts w:eastAsia="SimSun"/>
          <w:lang w:val="en-US" w:eastAsia="zh-CN"/>
        </w:rPr>
        <w:t>3</w:t>
      </w:r>
      <w:r w:rsidR="001B4BC1" w:rsidRPr="001D0636">
        <w:rPr>
          <w:rFonts w:eastAsia="SimSun"/>
          <w:lang w:val="en-US" w:eastAsia="zh-CN"/>
        </w:rPr>
        <w:t>.</w:t>
      </w:r>
      <w:r w:rsidR="001B4BC1" w:rsidRPr="001D0636">
        <w:rPr>
          <w:rFonts w:eastAsia="SimSun"/>
          <w:lang w:val="en-US" w:eastAsia="zh-CN"/>
        </w:rPr>
        <w:tab/>
        <w:t xml:space="preserve">The Committee </w:t>
      </w:r>
      <w:r w:rsidR="00BA43C6">
        <w:rPr>
          <w:rFonts w:eastAsia="SimSun"/>
          <w:lang w:val="en-US" w:eastAsia="zh-CN"/>
        </w:rPr>
        <w:t xml:space="preserve">takes note of </w:t>
      </w:r>
      <w:r w:rsidR="001B4BC1" w:rsidRPr="001D0636">
        <w:rPr>
          <w:rFonts w:eastAsia="SimSun"/>
          <w:lang w:val="en-US" w:eastAsia="zh-CN"/>
        </w:rPr>
        <w:t>the policy of the State party to detain children in Children Detention Schools under the supervision of the Irish Youth Justice Service. However, the Committee is gravely concerned that 16 and 17 year old males are still detained in St Patrick’s Institution</w:t>
      </w:r>
      <w:r w:rsidR="00216D52" w:rsidRPr="001D0636">
        <w:rPr>
          <w:rFonts w:eastAsia="SimSun"/>
          <w:lang w:val="en-US" w:eastAsia="zh-CN"/>
        </w:rPr>
        <w:t>,</w:t>
      </w:r>
      <w:r w:rsidR="001B4BC1" w:rsidRPr="001D0636">
        <w:rPr>
          <w:rFonts w:eastAsia="SimSun"/>
          <w:lang w:val="en-US" w:eastAsia="zh-CN"/>
        </w:rPr>
        <w:t xml:space="preserve"> which is a medium security prison that is custodial rather than a </w:t>
      </w:r>
      <w:r w:rsidR="006E0BE3" w:rsidRPr="001D0636">
        <w:rPr>
          <w:rFonts w:eastAsia="SimSun"/>
          <w:lang w:val="en-US" w:eastAsia="zh-CN"/>
        </w:rPr>
        <w:t>ca</w:t>
      </w:r>
      <w:r w:rsidR="00DC7EEB" w:rsidRPr="001D0636">
        <w:rPr>
          <w:rFonts w:eastAsia="SimSun"/>
          <w:lang w:val="en-US" w:eastAsia="zh-CN"/>
        </w:rPr>
        <w:t>re facility designed for children. The Committee is also concerned that despite its commitment to end the detention of young children in St Patrick’s Institution, the State party has not yet finalized its decision to proceed with the construction of the new National Children Detention Facilities. (articles 2</w:t>
      </w:r>
      <w:r w:rsidR="006E0BE3" w:rsidRPr="001D0636">
        <w:rPr>
          <w:rFonts w:eastAsia="SimSun"/>
          <w:lang w:val="en-US" w:eastAsia="zh-CN"/>
        </w:rPr>
        <w:t>, 11</w:t>
      </w:r>
      <w:r w:rsidR="00DC7EEB" w:rsidRPr="001D0636">
        <w:rPr>
          <w:rFonts w:eastAsia="SimSun"/>
          <w:lang w:val="en-US" w:eastAsia="zh-CN"/>
        </w:rPr>
        <w:t xml:space="preserve"> and 16)</w:t>
      </w:r>
    </w:p>
    <w:p w:rsidR="00D81BC9" w:rsidRPr="00993F6E" w:rsidRDefault="00DC7EEB" w:rsidP="0094662C">
      <w:pPr>
        <w:pStyle w:val="SingleTxtG"/>
        <w:rPr>
          <w:rFonts w:eastAsia="SimSun"/>
          <w:lang w:val="en-US" w:eastAsia="zh-CN"/>
        </w:rPr>
      </w:pPr>
      <w:r w:rsidRPr="00752B93">
        <w:rPr>
          <w:rFonts w:eastAsia="SimSun"/>
          <w:b/>
          <w:bCs/>
          <w:lang w:val="en-US" w:eastAsia="zh-CN"/>
        </w:rPr>
        <w:t xml:space="preserve">The Committee </w:t>
      </w:r>
      <w:r w:rsidR="00D0495C">
        <w:rPr>
          <w:rFonts w:eastAsia="SimSun"/>
          <w:b/>
          <w:bCs/>
          <w:lang w:val="en-US" w:eastAsia="zh-CN"/>
        </w:rPr>
        <w:t>recommends that</w:t>
      </w:r>
      <w:r w:rsidR="00D0495C" w:rsidRPr="00752B93">
        <w:rPr>
          <w:rFonts w:eastAsia="SimSun"/>
          <w:b/>
          <w:bCs/>
          <w:lang w:val="en-US" w:eastAsia="zh-CN"/>
        </w:rPr>
        <w:t xml:space="preserve"> </w:t>
      </w:r>
      <w:r w:rsidRPr="00752B93">
        <w:rPr>
          <w:rFonts w:eastAsia="SimSun"/>
          <w:b/>
          <w:bCs/>
          <w:lang w:val="en-US" w:eastAsia="zh-CN"/>
        </w:rPr>
        <w:t xml:space="preserve">the State party </w:t>
      </w:r>
      <w:r w:rsidR="00D0495C">
        <w:rPr>
          <w:rFonts w:eastAsia="SimSun"/>
          <w:b/>
          <w:bCs/>
          <w:lang w:val="en-US" w:eastAsia="zh-CN"/>
        </w:rPr>
        <w:t>should</w:t>
      </w:r>
      <w:r w:rsidR="00D0495C" w:rsidRPr="00752B93">
        <w:rPr>
          <w:rFonts w:eastAsia="SimSun"/>
          <w:b/>
          <w:bCs/>
          <w:lang w:val="en-US" w:eastAsia="zh-CN"/>
        </w:rPr>
        <w:t xml:space="preserve"> </w:t>
      </w:r>
      <w:r w:rsidRPr="00752B93">
        <w:rPr>
          <w:rFonts w:eastAsia="SimSun"/>
          <w:b/>
          <w:bCs/>
          <w:lang w:val="en-US" w:eastAsia="zh-CN"/>
        </w:rPr>
        <w:t>proceed</w:t>
      </w:r>
      <w:r w:rsidR="00D0495C">
        <w:rPr>
          <w:rFonts w:eastAsia="SimSun"/>
          <w:b/>
          <w:bCs/>
          <w:lang w:val="en-US" w:eastAsia="zh-CN"/>
        </w:rPr>
        <w:t>,</w:t>
      </w:r>
      <w:r w:rsidRPr="00752B93">
        <w:rPr>
          <w:rFonts w:eastAsia="SimSun"/>
          <w:b/>
          <w:bCs/>
          <w:lang w:val="en-US" w:eastAsia="zh-CN"/>
        </w:rPr>
        <w:t xml:space="preserve"> without any delay</w:t>
      </w:r>
      <w:r w:rsidR="00D0495C">
        <w:rPr>
          <w:rFonts w:eastAsia="SimSun"/>
          <w:b/>
          <w:bCs/>
          <w:lang w:val="en-US" w:eastAsia="zh-CN"/>
        </w:rPr>
        <w:t>,</w:t>
      </w:r>
      <w:r w:rsidRPr="00752B93">
        <w:rPr>
          <w:rFonts w:eastAsia="SimSun"/>
          <w:b/>
          <w:bCs/>
          <w:lang w:val="en-US" w:eastAsia="zh-CN"/>
        </w:rPr>
        <w:t xml:space="preserve"> </w:t>
      </w:r>
      <w:r w:rsidR="006E0BE3" w:rsidRPr="00752B93">
        <w:rPr>
          <w:rFonts w:eastAsia="SimSun"/>
          <w:b/>
          <w:bCs/>
          <w:lang w:val="en-US" w:eastAsia="zh-CN"/>
        </w:rPr>
        <w:t xml:space="preserve">with </w:t>
      </w:r>
      <w:r w:rsidRPr="00752B93">
        <w:rPr>
          <w:rFonts w:eastAsia="SimSun"/>
          <w:b/>
          <w:bCs/>
          <w:lang w:val="en-US" w:eastAsia="zh-CN"/>
        </w:rPr>
        <w:t>the construction of the new National Children Detention Facilities at Oberstown.</w:t>
      </w:r>
      <w:r w:rsidR="00941EA5">
        <w:rPr>
          <w:rFonts w:eastAsia="SimSun"/>
          <w:lang w:val="en-US" w:eastAsia="zh-CN"/>
        </w:rPr>
        <w:t xml:space="preserve"> </w:t>
      </w:r>
      <w:r w:rsidR="00993F6E" w:rsidRPr="00993F6E">
        <w:rPr>
          <w:rFonts w:eastAsia="SimSun"/>
          <w:b/>
          <w:bCs/>
          <w:lang w:val="en-US" w:eastAsia="zh-CN"/>
        </w:rPr>
        <w:t>In the meantime, t</w:t>
      </w:r>
      <w:r w:rsidR="00941EA5" w:rsidRPr="00993F6E">
        <w:rPr>
          <w:rFonts w:eastAsia="SimSun"/>
          <w:b/>
          <w:bCs/>
          <w:lang w:val="en-US" w:eastAsia="zh-CN"/>
        </w:rPr>
        <w:t xml:space="preserve">he Committee </w:t>
      </w:r>
      <w:r w:rsidR="0094662C">
        <w:rPr>
          <w:rFonts w:eastAsia="SimSun"/>
          <w:b/>
          <w:bCs/>
          <w:lang w:val="en-US" w:eastAsia="zh-CN"/>
        </w:rPr>
        <w:t>recommends that</w:t>
      </w:r>
      <w:r w:rsidR="00941EA5" w:rsidRPr="00993F6E">
        <w:rPr>
          <w:rFonts w:eastAsia="SimSun"/>
          <w:b/>
          <w:bCs/>
          <w:lang w:val="en-US" w:eastAsia="zh-CN"/>
        </w:rPr>
        <w:t xml:space="preserve"> the State party should take appropriate measures to </w:t>
      </w:r>
      <w:r w:rsidR="00993F6E">
        <w:rPr>
          <w:rFonts w:eastAsia="SimSun"/>
          <w:b/>
          <w:bCs/>
          <w:lang w:val="en-US" w:eastAsia="zh-CN"/>
        </w:rPr>
        <w:t>end the detention of children in St Patrick’s institution</w:t>
      </w:r>
      <w:r w:rsidR="00DC0D16">
        <w:rPr>
          <w:rFonts w:eastAsia="SimSun"/>
          <w:b/>
          <w:bCs/>
          <w:lang w:val="en-US" w:eastAsia="zh-CN"/>
        </w:rPr>
        <w:t xml:space="preserve"> and move them into appropriate facilities</w:t>
      </w:r>
      <w:r w:rsidR="00941EA5" w:rsidRPr="00993F6E">
        <w:rPr>
          <w:rFonts w:eastAsia="SimSun"/>
          <w:b/>
          <w:bCs/>
          <w:lang w:val="en-US" w:eastAsia="zh-CN"/>
        </w:rPr>
        <w:t>.</w:t>
      </w:r>
      <w:r w:rsidR="00752B93" w:rsidRPr="00993F6E">
        <w:rPr>
          <w:rFonts w:eastAsia="SimSun"/>
          <w:b/>
          <w:bCs/>
          <w:lang w:val="en-US" w:eastAsia="zh-CN"/>
        </w:rPr>
        <w:tab/>
      </w:r>
      <w:r w:rsidR="00752B93" w:rsidRPr="00993F6E">
        <w:rPr>
          <w:rFonts w:eastAsia="SimSun"/>
          <w:b/>
          <w:bCs/>
          <w:lang w:val="en-US" w:eastAsia="zh-CN"/>
        </w:rPr>
        <w:tab/>
      </w:r>
    </w:p>
    <w:p w:rsidR="0085060F" w:rsidRPr="001D0636" w:rsidRDefault="008E3876" w:rsidP="001316BB">
      <w:pPr>
        <w:pStyle w:val="SingleTxtG"/>
        <w:rPr>
          <w:rFonts w:eastAsia="SimSun"/>
          <w:lang w:val="en-US" w:eastAsia="zh-CN"/>
        </w:rPr>
      </w:pPr>
      <w:r w:rsidRPr="001D0636">
        <w:rPr>
          <w:rFonts w:eastAsia="SimSun"/>
          <w:lang w:val="en-US" w:eastAsia="zh-CN"/>
        </w:rPr>
        <w:t>2</w:t>
      </w:r>
      <w:r w:rsidR="00E42FBC">
        <w:rPr>
          <w:rFonts w:eastAsia="SimSun"/>
          <w:lang w:val="en-US" w:eastAsia="zh-CN"/>
        </w:rPr>
        <w:t>4</w:t>
      </w:r>
      <w:r w:rsidR="0085060F" w:rsidRPr="001D0636">
        <w:rPr>
          <w:rFonts w:eastAsia="SimSun"/>
          <w:lang w:val="en-US" w:eastAsia="zh-CN"/>
        </w:rPr>
        <w:t>.</w:t>
      </w:r>
      <w:r w:rsidR="0085060F" w:rsidRPr="001D0636">
        <w:rPr>
          <w:rFonts w:eastAsia="SimSun"/>
          <w:lang w:val="en-US" w:eastAsia="zh-CN"/>
        </w:rPr>
        <w:tab/>
        <w:t xml:space="preserve">The Committee expresses </w:t>
      </w:r>
      <w:r w:rsidR="00FE3DC0" w:rsidRPr="001D0636">
        <w:rPr>
          <w:rFonts w:eastAsia="SimSun"/>
          <w:lang w:val="en-US" w:eastAsia="zh-CN"/>
        </w:rPr>
        <w:t xml:space="preserve">deep </w:t>
      </w:r>
      <w:r w:rsidR="0085060F" w:rsidRPr="001D0636">
        <w:rPr>
          <w:rFonts w:eastAsia="SimSun"/>
          <w:lang w:val="en-US" w:eastAsia="zh-CN"/>
        </w:rPr>
        <w:t xml:space="preserve">concern that the Ombudsman for Children has no mandate to investigate allegations of </w:t>
      </w:r>
      <w:r w:rsidR="00366BC4">
        <w:rPr>
          <w:rFonts w:eastAsia="SimSun"/>
          <w:lang w:val="en-US" w:eastAsia="zh-CN"/>
        </w:rPr>
        <w:t>acts in violation of the Convention</w:t>
      </w:r>
      <w:r w:rsidR="0085060F" w:rsidRPr="001D0636">
        <w:rPr>
          <w:rFonts w:eastAsia="SimSun"/>
          <w:lang w:val="en-US" w:eastAsia="zh-CN"/>
        </w:rPr>
        <w:t xml:space="preserve"> at St Patrick’s Institution</w:t>
      </w:r>
      <w:r w:rsidR="000301F6">
        <w:rPr>
          <w:rFonts w:eastAsia="SimSun"/>
          <w:lang w:val="en-US" w:eastAsia="zh-CN"/>
        </w:rPr>
        <w:t>,</w:t>
      </w:r>
      <w:r w:rsidR="0085060F" w:rsidRPr="001D0636">
        <w:rPr>
          <w:rFonts w:eastAsia="SimSun"/>
          <w:lang w:val="en-US" w:eastAsia="zh-CN"/>
        </w:rPr>
        <w:t xml:space="preserve"> leaving children at this institution without access to any mechanism for lodging complaints</w:t>
      </w:r>
      <w:r w:rsidR="00E716A3" w:rsidRPr="001D0636">
        <w:rPr>
          <w:rFonts w:eastAsia="SimSun"/>
          <w:lang w:val="en-US" w:eastAsia="zh-CN"/>
        </w:rPr>
        <w:t xml:space="preserve">. </w:t>
      </w:r>
      <w:r w:rsidR="0085060F" w:rsidRPr="001D0636">
        <w:rPr>
          <w:rFonts w:eastAsia="SimSun"/>
          <w:lang w:val="en-US" w:eastAsia="zh-CN"/>
        </w:rPr>
        <w:t>(artic</w:t>
      </w:r>
      <w:r w:rsidRPr="001D0636">
        <w:rPr>
          <w:rFonts w:eastAsia="SimSun"/>
          <w:lang w:val="en-US" w:eastAsia="zh-CN"/>
        </w:rPr>
        <w:t>les 12</w:t>
      </w:r>
      <w:r w:rsidR="00E716A3" w:rsidRPr="001D0636">
        <w:rPr>
          <w:rFonts w:eastAsia="SimSun"/>
          <w:lang w:val="en-US" w:eastAsia="zh-CN"/>
        </w:rPr>
        <w:t xml:space="preserve"> </w:t>
      </w:r>
      <w:r w:rsidRPr="001D0636">
        <w:rPr>
          <w:rFonts w:eastAsia="SimSun"/>
          <w:lang w:val="en-US" w:eastAsia="zh-CN"/>
        </w:rPr>
        <w:t xml:space="preserve">and </w:t>
      </w:r>
      <w:r w:rsidR="00E716A3" w:rsidRPr="001D0636">
        <w:rPr>
          <w:rFonts w:eastAsia="SimSun"/>
          <w:lang w:val="en-US" w:eastAsia="zh-CN"/>
        </w:rPr>
        <w:t>13)</w:t>
      </w:r>
    </w:p>
    <w:p w:rsidR="0085060F" w:rsidRPr="00752B93" w:rsidRDefault="0085060F" w:rsidP="00752B93">
      <w:pPr>
        <w:pStyle w:val="SingleTxtG"/>
        <w:rPr>
          <w:rFonts w:eastAsia="SimSun"/>
          <w:b/>
          <w:bCs/>
          <w:lang w:val="en-US" w:eastAsia="zh-CN"/>
        </w:rPr>
      </w:pPr>
      <w:r w:rsidRPr="00752B93">
        <w:rPr>
          <w:rFonts w:eastAsia="SimSun"/>
          <w:b/>
          <w:bCs/>
          <w:lang w:val="en-US" w:eastAsia="zh-CN"/>
        </w:rPr>
        <w:t xml:space="preserve">The Committee recommends that the State party should review its legislation </w:t>
      </w:r>
      <w:r w:rsidR="00E55619" w:rsidRPr="00752B93">
        <w:rPr>
          <w:rFonts w:eastAsia="SimSun"/>
          <w:b/>
          <w:bCs/>
          <w:lang w:val="en-US" w:eastAsia="zh-CN"/>
        </w:rPr>
        <w:t xml:space="preserve">on the establishment of the Ombudsman for Children </w:t>
      </w:r>
      <w:r w:rsidRPr="00752B93">
        <w:rPr>
          <w:rFonts w:eastAsia="SimSun"/>
          <w:b/>
          <w:bCs/>
          <w:lang w:val="en-US" w:eastAsia="zh-CN"/>
        </w:rPr>
        <w:t>with a view to conferri</w:t>
      </w:r>
      <w:r w:rsidR="00BF5DF4" w:rsidRPr="00752B93">
        <w:rPr>
          <w:rFonts w:eastAsia="SimSun"/>
          <w:b/>
          <w:bCs/>
          <w:lang w:val="en-US" w:eastAsia="zh-CN"/>
        </w:rPr>
        <w:t xml:space="preserve">ng </w:t>
      </w:r>
      <w:r w:rsidR="00770901" w:rsidRPr="00752B93">
        <w:rPr>
          <w:rFonts w:eastAsia="SimSun"/>
          <w:b/>
          <w:bCs/>
          <w:lang w:val="en-US" w:eastAsia="zh-CN"/>
        </w:rPr>
        <w:t xml:space="preserve">on her the </w:t>
      </w:r>
      <w:r w:rsidR="00BF5DF4" w:rsidRPr="00752B93">
        <w:rPr>
          <w:rFonts w:eastAsia="SimSun"/>
          <w:b/>
          <w:bCs/>
          <w:lang w:val="en-US" w:eastAsia="zh-CN"/>
        </w:rPr>
        <w:t>power</w:t>
      </w:r>
      <w:r w:rsidR="006E0BE3" w:rsidRPr="00752B93">
        <w:rPr>
          <w:rFonts w:eastAsia="SimSun"/>
          <w:b/>
          <w:bCs/>
          <w:lang w:val="en-US" w:eastAsia="zh-CN"/>
        </w:rPr>
        <w:t xml:space="preserve"> to</w:t>
      </w:r>
      <w:r w:rsidR="00BF5DF4" w:rsidRPr="00752B93">
        <w:rPr>
          <w:rFonts w:eastAsia="SimSun"/>
          <w:b/>
          <w:bCs/>
          <w:lang w:val="en-US" w:eastAsia="zh-CN"/>
        </w:rPr>
        <w:t xml:space="preserve"> </w:t>
      </w:r>
      <w:r w:rsidRPr="00752B93">
        <w:rPr>
          <w:rFonts w:eastAsia="SimSun"/>
          <w:b/>
          <w:bCs/>
          <w:lang w:val="en-US" w:eastAsia="zh-CN"/>
        </w:rPr>
        <w:t xml:space="preserve">investigate complaints </w:t>
      </w:r>
      <w:r w:rsidR="00770901" w:rsidRPr="00752B93">
        <w:rPr>
          <w:rFonts w:eastAsia="SimSun"/>
          <w:b/>
          <w:bCs/>
          <w:lang w:val="en-US" w:eastAsia="zh-CN"/>
        </w:rPr>
        <w:t xml:space="preserve">of </w:t>
      </w:r>
      <w:r w:rsidR="006E0BE3" w:rsidRPr="00752B93">
        <w:rPr>
          <w:rFonts w:eastAsia="SimSun"/>
          <w:b/>
          <w:bCs/>
          <w:lang w:val="en-US" w:eastAsia="zh-CN"/>
        </w:rPr>
        <w:t xml:space="preserve">torture and </w:t>
      </w:r>
      <w:r w:rsidR="00770901" w:rsidRPr="00752B93">
        <w:rPr>
          <w:rFonts w:eastAsia="SimSun"/>
          <w:b/>
          <w:bCs/>
          <w:lang w:val="en-US" w:eastAsia="zh-CN"/>
        </w:rPr>
        <w:t>ill-treatment of</w:t>
      </w:r>
      <w:r w:rsidRPr="00752B93">
        <w:rPr>
          <w:rFonts w:eastAsia="SimSun"/>
          <w:b/>
          <w:bCs/>
          <w:lang w:val="en-US" w:eastAsia="zh-CN"/>
        </w:rPr>
        <w:t xml:space="preserve"> children</w:t>
      </w:r>
      <w:r w:rsidR="00BF5DF4" w:rsidRPr="00752B93">
        <w:rPr>
          <w:rFonts w:eastAsia="SimSun"/>
          <w:b/>
          <w:bCs/>
          <w:lang w:val="en-US" w:eastAsia="zh-CN"/>
        </w:rPr>
        <w:t xml:space="preserve"> held</w:t>
      </w:r>
      <w:r w:rsidRPr="00752B93">
        <w:rPr>
          <w:rFonts w:eastAsia="SimSun"/>
          <w:b/>
          <w:bCs/>
          <w:lang w:val="en-US" w:eastAsia="zh-CN"/>
        </w:rPr>
        <w:t xml:space="preserve"> at St Patrick’s institution.</w:t>
      </w:r>
    </w:p>
    <w:p w:rsidR="00D81BC9" w:rsidRPr="001D0636" w:rsidRDefault="00752B93" w:rsidP="00752B93">
      <w:pPr>
        <w:pStyle w:val="H23G"/>
        <w:rPr>
          <w:rFonts w:eastAsia="SimSun"/>
          <w:lang w:val="en-US" w:eastAsia="zh-CN"/>
        </w:rPr>
      </w:pPr>
      <w:r>
        <w:rPr>
          <w:rFonts w:eastAsia="SimSun"/>
          <w:lang w:val="en-US" w:eastAsia="zh-CN"/>
        </w:rPr>
        <w:tab/>
      </w:r>
      <w:r>
        <w:rPr>
          <w:rFonts w:eastAsia="SimSun"/>
          <w:lang w:val="en-US" w:eastAsia="zh-CN"/>
        </w:rPr>
        <w:tab/>
      </w:r>
      <w:r w:rsidR="00D81BC9" w:rsidRPr="001D0636">
        <w:rPr>
          <w:rFonts w:eastAsia="SimSun"/>
          <w:lang w:val="en-US" w:eastAsia="zh-CN"/>
        </w:rPr>
        <w:t>Corporal punishment</w:t>
      </w:r>
    </w:p>
    <w:p w:rsidR="007D5D9C" w:rsidRPr="001D0636" w:rsidRDefault="00390AB2" w:rsidP="001316BB">
      <w:pPr>
        <w:pStyle w:val="SingleTxtG"/>
      </w:pPr>
      <w:r w:rsidRPr="001D0636">
        <w:rPr>
          <w:rFonts w:eastAsia="SimSun"/>
          <w:lang w:val="en-US" w:eastAsia="zh-CN"/>
        </w:rPr>
        <w:t>2</w:t>
      </w:r>
      <w:r w:rsidR="00E42FBC">
        <w:rPr>
          <w:rFonts w:eastAsia="SimSun"/>
          <w:lang w:val="en-US" w:eastAsia="zh-CN"/>
        </w:rPr>
        <w:t>5</w:t>
      </w:r>
      <w:r w:rsidR="00B75015" w:rsidRPr="001D0636">
        <w:rPr>
          <w:rFonts w:eastAsia="SimSun"/>
          <w:lang w:val="en-US" w:eastAsia="zh-CN"/>
        </w:rPr>
        <w:t>.</w:t>
      </w:r>
      <w:r w:rsidR="00B75015" w:rsidRPr="001D0636">
        <w:rPr>
          <w:rFonts w:eastAsia="SimSun"/>
          <w:lang w:val="en-US" w:eastAsia="zh-CN"/>
        </w:rPr>
        <w:tab/>
      </w:r>
      <w:r w:rsidR="007D5D9C" w:rsidRPr="001D0636">
        <w:rPr>
          <w:rFonts w:eastAsia="SimSun"/>
          <w:lang w:val="en-US" w:eastAsia="zh-CN"/>
        </w:rPr>
        <w:t>W</w:t>
      </w:r>
      <w:r w:rsidR="007D5D9C" w:rsidRPr="001D0636">
        <w:t xml:space="preserve">hile taking note </w:t>
      </w:r>
      <w:r w:rsidRPr="001D0636">
        <w:t>that corporal</w:t>
      </w:r>
      <w:r w:rsidR="00216D52" w:rsidRPr="001D0636">
        <w:t xml:space="preserve"> </w:t>
      </w:r>
      <w:r w:rsidRPr="001D0636">
        <w:t>punishment is prohibited in schools and in the penal system, the Committee is gravely concerned that corporal punishment is lawful in the home under the common law right to use “reasonable</w:t>
      </w:r>
      <w:r w:rsidR="00421380" w:rsidRPr="001D0636">
        <w:t xml:space="preserve"> and moderate</w:t>
      </w:r>
      <w:r w:rsidRPr="001D0636">
        <w:t xml:space="preserve"> chastisement</w:t>
      </w:r>
      <w:r w:rsidR="00421380" w:rsidRPr="001D0636">
        <w:t>” in disciplining children and also in certain alternative c</w:t>
      </w:r>
      <w:r w:rsidR="00216D52" w:rsidRPr="001D0636">
        <w:t>a</w:t>
      </w:r>
      <w:r w:rsidR="00421380" w:rsidRPr="001D0636">
        <w:t>re settings</w:t>
      </w:r>
      <w:r w:rsidR="00B02F69" w:rsidRPr="001D0636">
        <w:t>.</w:t>
      </w:r>
      <w:r w:rsidR="007D5D9C" w:rsidRPr="001D0636">
        <w:t xml:space="preserve"> (article</w:t>
      </w:r>
      <w:r w:rsidR="001E1117" w:rsidRPr="001D0636">
        <w:t>s</w:t>
      </w:r>
      <w:r w:rsidR="00261B5A" w:rsidRPr="001D0636">
        <w:t xml:space="preserve"> 2 and 16)</w:t>
      </w:r>
    </w:p>
    <w:p w:rsidR="007D5D9C" w:rsidRPr="00752B93" w:rsidRDefault="007D5D9C" w:rsidP="00181ED2">
      <w:pPr>
        <w:pStyle w:val="SingleTxtG"/>
        <w:rPr>
          <w:b/>
          <w:bCs/>
        </w:rPr>
      </w:pPr>
      <w:r w:rsidRPr="00752B93">
        <w:rPr>
          <w:b/>
          <w:bCs/>
        </w:rPr>
        <w:t xml:space="preserve">The </w:t>
      </w:r>
      <w:r w:rsidR="00421380" w:rsidRPr="00752B93">
        <w:rPr>
          <w:b/>
          <w:bCs/>
        </w:rPr>
        <w:t xml:space="preserve">Committee </w:t>
      </w:r>
      <w:r w:rsidR="007E22B9">
        <w:rPr>
          <w:b/>
          <w:bCs/>
        </w:rPr>
        <w:t>recommends</w:t>
      </w:r>
      <w:r w:rsidR="00181ED2">
        <w:rPr>
          <w:b/>
          <w:bCs/>
        </w:rPr>
        <w:t xml:space="preserve"> that</w:t>
      </w:r>
      <w:r w:rsidR="007E22B9" w:rsidRPr="00752B93">
        <w:rPr>
          <w:b/>
          <w:bCs/>
        </w:rPr>
        <w:t xml:space="preserve"> </w:t>
      </w:r>
      <w:r w:rsidR="00421380" w:rsidRPr="00752B93">
        <w:rPr>
          <w:b/>
          <w:bCs/>
        </w:rPr>
        <w:t>the State party prohibit</w:t>
      </w:r>
      <w:r w:rsidR="00181ED2">
        <w:rPr>
          <w:b/>
          <w:bCs/>
        </w:rPr>
        <w:t>s</w:t>
      </w:r>
      <w:r w:rsidR="00421380" w:rsidRPr="00752B93">
        <w:rPr>
          <w:b/>
          <w:bCs/>
        </w:rPr>
        <w:t xml:space="preserve"> all corporal punishment of children </w:t>
      </w:r>
      <w:r w:rsidR="006E0BE3" w:rsidRPr="00752B93">
        <w:rPr>
          <w:b/>
          <w:bCs/>
        </w:rPr>
        <w:t xml:space="preserve">in all settings </w:t>
      </w:r>
      <w:r w:rsidR="00421380" w:rsidRPr="00752B93">
        <w:rPr>
          <w:b/>
          <w:bCs/>
        </w:rPr>
        <w:t xml:space="preserve">and conduct public campaigns to educate parents and the general public about </w:t>
      </w:r>
      <w:r w:rsidRPr="00752B93">
        <w:rPr>
          <w:b/>
          <w:bCs/>
        </w:rPr>
        <w:t>its harmful effects</w:t>
      </w:r>
      <w:r w:rsidR="00421380" w:rsidRPr="00752B93">
        <w:rPr>
          <w:b/>
          <w:bCs/>
        </w:rPr>
        <w:t xml:space="preserve"> and promote positive non-violent forms of discipline as an alternative to corporal punishment</w:t>
      </w:r>
      <w:r w:rsidRPr="00752B93">
        <w:rPr>
          <w:b/>
          <w:bCs/>
        </w:rPr>
        <w:t xml:space="preserve">. </w:t>
      </w:r>
    </w:p>
    <w:p w:rsidR="00421380" w:rsidRPr="001D0636" w:rsidRDefault="00752B93" w:rsidP="00752B93">
      <w:pPr>
        <w:pStyle w:val="H23G"/>
        <w:rPr>
          <w:rFonts w:eastAsia="SimSun"/>
          <w:lang w:eastAsia="zh-CN"/>
        </w:rPr>
      </w:pPr>
      <w:r>
        <w:rPr>
          <w:rFonts w:eastAsia="SimSun"/>
          <w:lang w:eastAsia="zh-CN"/>
        </w:rPr>
        <w:tab/>
      </w:r>
      <w:r>
        <w:rPr>
          <w:rFonts w:eastAsia="SimSun"/>
          <w:lang w:eastAsia="zh-CN"/>
        </w:rPr>
        <w:tab/>
      </w:r>
      <w:r w:rsidR="00421380" w:rsidRPr="001D0636">
        <w:rPr>
          <w:rFonts w:eastAsia="SimSun"/>
          <w:lang w:eastAsia="zh-CN"/>
        </w:rPr>
        <w:t>Prohibition of female genital mutilation</w:t>
      </w:r>
    </w:p>
    <w:p w:rsidR="00421380" w:rsidRPr="00752B93" w:rsidRDefault="00421380" w:rsidP="00E42FBC">
      <w:pPr>
        <w:pStyle w:val="SingleTxtG"/>
        <w:rPr>
          <w:rFonts w:eastAsia="SimSun"/>
          <w:b/>
          <w:bCs/>
          <w:lang w:eastAsia="zh-CN"/>
        </w:rPr>
      </w:pPr>
      <w:r w:rsidRPr="001D0636">
        <w:rPr>
          <w:rFonts w:eastAsia="SimSun"/>
          <w:lang w:eastAsia="zh-CN"/>
        </w:rPr>
        <w:t>2</w:t>
      </w:r>
      <w:r w:rsidR="00E42FBC">
        <w:rPr>
          <w:rFonts w:eastAsia="SimSun"/>
          <w:lang w:eastAsia="zh-CN"/>
        </w:rPr>
        <w:t>6</w:t>
      </w:r>
      <w:r w:rsidRPr="001D0636">
        <w:rPr>
          <w:rFonts w:eastAsia="SimSun"/>
          <w:lang w:eastAsia="zh-CN"/>
        </w:rPr>
        <w:t>.</w:t>
      </w:r>
      <w:r w:rsidRPr="001D0636">
        <w:rPr>
          <w:rFonts w:eastAsia="SimSun"/>
          <w:lang w:eastAsia="zh-CN"/>
        </w:rPr>
        <w:tab/>
        <w:t xml:space="preserve">The Committee notes the intention of the State party to restore to the </w:t>
      </w:r>
      <w:r w:rsidR="005C14BC">
        <w:rPr>
          <w:rFonts w:eastAsia="SimSun"/>
          <w:lang w:eastAsia="zh-CN"/>
        </w:rPr>
        <w:t>parliament (</w:t>
      </w:r>
      <w:r w:rsidRPr="001D0636">
        <w:rPr>
          <w:rFonts w:eastAsia="SimSun"/>
          <w:lang w:eastAsia="zh-CN"/>
        </w:rPr>
        <w:t>Seanad</w:t>
      </w:r>
      <w:r w:rsidR="005C14BC">
        <w:rPr>
          <w:rFonts w:eastAsia="SimSun"/>
          <w:lang w:eastAsia="zh-CN"/>
        </w:rPr>
        <w:t>)</w:t>
      </w:r>
      <w:r w:rsidRPr="001D0636">
        <w:rPr>
          <w:rFonts w:eastAsia="SimSun"/>
          <w:lang w:eastAsia="zh-CN"/>
        </w:rPr>
        <w:t xml:space="preserve"> Order paper the </w:t>
      </w:r>
      <w:r w:rsidR="001A7E43" w:rsidRPr="001D0636">
        <w:rPr>
          <w:rFonts w:eastAsia="SimSun"/>
          <w:lang w:eastAsia="zh-CN"/>
        </w:rPr>
        <w:t>Criminal Justice (</w:t>
      </w:r>
      <w:r w:rsidRPr="001D0636">
        <w:rPr>
          <w:rFonts w:eastAsia="SimSun"/>
          <w:lang w:eastAsia="zh-CN"/>
        </w:rPr>
        <w:t>Female Genital Mutilation</w:t>
      </w:r>
      <w:r w:rsidR="001A7E43" w:rsidRPr="001D0636">
        <w:rPr>
          <w:rFonts w:eastAsia="SimSun"/>
          <w:lang w:eastAsia="zh-CN"/>
        </w:rPr>
        <w:t>)</w:t>
      </w:r>
      <w:r w:rsidRPr="001D0636">
        <w:rPr>
          <w:rFonts w:eastAsia="SimSun"/>
          <w:lang w:eastAsia="zh-CN"/>
        </w:rPr>
        <w:t xml:space="preserve"> bill which criminalises female genital mutilation (FGM) and provides for related offences some of which confer on courts extra-</w:t>
      </w:r>
      <w:r w:rsidRPr="00752B93">
        <w:rPr>
          <w:rFonts w:eastAsia="SimSun"/>
          <w:lang w:eastAsia="zh-CN"/>
        </w:rPr>
        <w:t>territorial jurisdiction</w:t>
      </w:r>
      <w:r w:rsidR="00D6746B">
        <w:rPr>
          <w:rFonts w:eastAsia="SimSun"/>
          <w:lang w:eastAsia="zh-CN"/>
        </w:rPr>
        <w:t xml:space="preserve">. However, the Committee regrets the lack of legislation prohibiting FGM even though data based on a 2006 census indicates that about 2, 585 women in the State party have undergone FGM. </w:t>
      </w:r>
      <w:r w:rsidRPr="00752B93">
        <w:rPr>
          <w:rFonts w:eastAsia="SimSun"/>
          <w:lang w:eastAsia="zh-CN"/>
        </w:rPr>
        <w:t xml:space="preserve"> (articles 2 and 16)</w:t>
      </w:r>
    </w:p>
    <w:p w:rsidR="000707B4" w:rsidRPr="00752B93" w:rsidRDefault="000707B4" w:rsidP="00D0495C">
      <w:pPr>
        <w:pStyle w:val="SingleTxtG"/>
        <w:rPr>
          <w:rFonts w:eastAsia="SimSun"/>
          <w:b/>
          <w:bCs/>
          <w:lang w:eastAsia="zh-CN"/>
        </w:rPr>
      </w:pPr>
      <w:r w:rsidRPr="00752B93">
        <w:rPr>
          <w:rFonts w:eastAsia="SimSun"/>
          <w:b/>
          <w:bCs/>
          <w:lang w:eastAsia="zh-CN"/>
        </w:rPr>
        <w:t xml:space="preserve">The Committee </w:t>
      </w:r>
      <w:r w:rsidR="00D0495C">
        <w:rPr>
          <w:rFonts w:eastAsia="SimSun"/>
          <w:b/>
          <w:bCs/>
          <w:lang w:eastAsia="zh-CN"/>
        </w:rPr>
        <w:t>recommends that</w:t>
      </w:r>
      <w:r w:rsidR="00D0495C" w:rsidRPr="00752B93">
        <w:rPr>
          <w:rFonts w:eastAsia="SimSun"/>
          <w:b/>
          <w:bCs/>
          <w:lang w:eastAsia="zh-CN"/>
        </w:rPr>
        <w:t xml:space="preserve"> </w:t>
      </w:r>
      <w:r w:rsidRPr="00752B93">
        <w:rPr>
          <w:rFonts w:eastAsia="SimSun"/>
          <w:b/>
          <w:bCs/>
          <w:lang w:eastAsia="zh-CN"/>
        </w:rPr>
        <w:t xml:space="preserve">the State party </w:t>
      </w:r>
      <w:r w:rsidR="00D0495C">
        <w:rPr>
          <w:rFonts w:eastAsia="SimSun"/>
          <w:b/>
          <w:bCs/>
          <w:lang w:eastAsia="zh-CN"/>
        </w:rPr>
        <w:t>should</w:t>
      </w:r>
      <w:r w:rsidRPr="00752B93">
        <w:rPr>
          <w:rFonts w:eastAsia="SimSun"/>
          <w:b/>
          <w:bCs/>
          <w:lang w:eastAsia="zh-CN"/>
        </w:rPr>
        <w:t>:</w:t>
      </w:r>
    </w:p>
    <w:p w:rsidR="000707B4" w:rsidRPr="00752B93" w:rsidRDefault="00752B93" w:rsidP="0098333D">
      <w:pPr>
        <w:pStyle w:val="SingleTxtG"/>
        <w:rPr>
          <w:rFonts w:eastAsia="SimSun"/>
          <w:b/>
          <w:bCs/>
        </w:rPr>
      </w:pPr>
      <w:r>
        <w:rPr>
          <w:rFonts w:eastAsia="SimSun"/>
          <w:b/>
          <w:bCs/>
        </w:rPr>
        <w:tab/>
        <w:t>(</w:t>
      </w:r>
      <w:r w:rsidR="008F4CAE" w:rsidRPr="00752B93">
        <w:rPr>
          <w:rFonts w:eastAsia="SimSun"/>
          <w:b/>
          <w:bCs/>
        </w:rPr>
        <w:t>a)</w:t>
      </w:r>
      <w:r w:rsidR="008F4CAE" w:rsidRPr="00752B93">
        <w:rPr>
          <w:rFonts w:eastAsia="SimSun"/>
          <w:b/>
          <w:bCs/>
        </w:rPr>
        <w:tab/>
      </w:r>
      <w:r>
        <w:rPr>
          <w:rFonts w:eastAsia="SimSun"/>
          <w:b/>
          <w:bCs/>
        </w:rPr>
        <w:t>E</w:t>
      </w:r>
      <w:r w:rsidR="000707B4" w:rsidRPr="00752B93">
        <w:rPr>
          <w:rFonts w:eastAsia="SimSun"/>
          <w:b/>
          <w:bCs/>
        </w:rPr>
        <w:t xml:space="preserve">xpedite the restoration of the </w:t>
      </w:r>
      <w:r w:rsidR="001A7E43" w:rsidRPr="00752B93">
        <w:rPr>
          <w:rFonts w:eastAsia="SimSun"/>
          <w:b/>
          <w:bCs/>
        </w:rPr>
        <w:t>Criminal Justice (</w:t>
      </w:r>
      <w:r w:rsidR="000707B4" w:rsidRPr="00752B93">
        <w:rPr>
          <w:rFonts w:eastAsia="SimSun"/>
          <w:b/>
          <w:bCs/>
        </w:rPr>
        <w:t>Female Genital Mutilation</w:t>
      </w:r>
      <w:r w:rsidR="001A7E43" w:rsidRPr="00752B93">
        <w:rPr>
          <w:rFonts w:eastAsia="SimSun"/>
          <w:b/>
          <w:bCs/>
        </w:rPr>
        <w:t>)</w:t>
      </w:r>
      <w:r w:rsidR="000707B4" w:rsidRPr="00752B93">
        <w:rPr>
          <w:rFonts w:eastAsia="SimSun"/>
          <w:b/>
          <w:bCs/>
        </w:rPr>
        <w:t xml:space="preserve"> bill to the new </w:t>
      </w:r>
      <w:r w:rsidR="005C14BC">
        <w:rPr>
          <w:rFonts w:eastAsia="SimSun"/>
          <w:b/>
          <w:bCs/>
        </w:rPr>
        <w:t>parliament (</w:t>
      </w:r>
      <w:r w:rsidR="000707B4" w:rsidRPr="00752B93">
        <w:rPr>
          <w:rFonts w:eastAsia="SimSun"/>
          <w:b/>
          <w:bCs/>
        </w:rPr>
        <w:t>Seanad</w:t>
      </w:r>
      <w:r w:rsidR="005C14BC">
        <w:rPr>
          <w:rFonts w:eastAsia="SimSun"/>
          <w:b/>
          <w:bCs/>
        </w:rPr>
        <w:t>)</w:t>
      </w:r>
      <w:r w:rsidR="000707B4" w:rsidRPr="00752B93">
        <w:rPr>
          <w:rFonts w:eastAsia="SimSun"/>
          <w:b/>
          <w:bCs/>
        </w:rPr>
        <w:t xml:space="preserve">; </w:t>
      </w:r>
    </w:p>
    <w:p w:rsidR="0098333D" w:rsidRDefault="00752B93" w:rsidP="00752B93">
      <w:pPr>
        <w:pStyle w:val="SingleTxtG"/>
        <w:rPr>
          <w:rFonts w:eastAsia="SimSun"/>
          <w:b/>
          <w:bCs/>
        </w:rPr>
      </w:pPr>
      <w:r>
        <w:rPr>
          <w:rFonts w:eastAsia="SimSun"/>
          <w:b/>
          <w:bCs/>
        </w:rPr>
        <w:tab/>
        <w:t>(</w:t>
      </w:r>
      <w:r w:rsidR="008F4CAE" w:rsidRPr="00752B93">
        <w:rPr>
          <w:rFonts w:eastAsia="SimSun"/>
          <w:b/>
          <w:bCs/>
        </w:rPr>
        <w:t>b)</w:t>
      </w:r>
      <w:r w:rsidR="008F4CAE" w:rsidRPr="00752B93">
        <w:rPr>
          <w:rFonts w:eastAsia="SimSun"/>
          <w:b/>
          <w:bCs/>
        </w:rPr>
        <w:tab/>
      </w:r>
      <w:r>
        <w:rPr>
          <w:rFonts w:eastAsia="SimSun"/>
          <w:b/>
          <w:bCs/>
        </w:rPr>
        <w:t>I</w:t>
      </w:r>
      <w:r w:rsidR="000707B4" w:rsidRPr="00752B93">
        <w:rPr>
          <w:rFonts w:eastAsia="SimSun"/>
          <w:b/>
          <w:bCs/>
        </w:rPr>
        <w:t>mplement targeted programmes with a view to sensitise all segments of the population about the extreme harmful effects of FGM</w:t>
      </w:r>
      <w:r w:rsidR="0098333D">
        <w:rPr>
          <w:rFonts w:eastAsia="SimSun"/>
          <w:b/>
          <w:bCs/>
        </w:rPr>
        <w:t>;</w:t>
      </w:r>
      <w:r w:rsidR="0098333D" w:rsidRPr="0098333D">
        <w:rPr>
          <w:rFonts w:eastAsia="SimSun"/>
          <w:b/>
          <w:bCs/>
        </w:rPr>
        <w:t xml:space="preserve"> </w:t>
      </w:r>
      <w:r w:rsidR="0098333D" w:rsidRPr="00752B93">
        <w:rPr>
          <w:rFonts w:eastAsia="SimSun"/>
          <w:b/>
          <w:bCs/>
        </w:rPr>
        <w:t>and</w:t>
      </w:r>
    </w:p>
    <w:p w:rsidR="000707B4" w:rsidRPr="00752B93" w:rsidRDefault="0098333D" w:rsidP="009B1DF1">
      <w:pPr>
        <w:pStyle w:val="SingleTxtG"/>
        <w:ind w:firstLine="567"/>
        <w:rPr>
          <w:rFonts w:eastAsia="SimSun"/>
          <w:b/>
          <w:bCs/>
        </w:rPr>
      </w:pPr>
      <w:r>
        <w:rPr>
          <w:rFonts w:eastAsia="SimSun"/>
          <w:b/>
          <w:bCs/>
        </w:rPr>
        <w:t>(c)</w:t>
      </w:r>
      <w:r>
        <w:rPr>
          <w:rFonts w:eastAsia="SimSun"/>
          <w:b/>
          <w:bCs/>
        </w:rPr>
        <w:tab/>
        <w:t xml:space="preserve">Explicitly </w:t>
      </w:r>
      <w:r w:rsidR="009B1DF1">
        <w:rPr>
          <w:rFonts w:eastAsia="SimSun"/>
          <w:b/>
          <w:bCs/>
        </w:rPr>
        <w:t>define under the law t</w:t>
      </w:r>
      <w:r>
        <w:rPr>
          <w:rFonts w:eastAsia="SimSun"/>
          <w:b/>
          <w:bCs/>
        </w:rPr>
        <w:t>hat FGM amounts to torture</w:t>
      </w:r>
      <w:r w:rsidR="000707B4" w:rsidRPr="00752B93">
        <w:rPr>
          <w:rFonts w:eastAsia="SimSun"/>
          <w:b/>
          <w:bCs/>
        </w:rPr>
        <w:t>.</w:t>
      </w:r>
    </w:p>
    <w:p w:rsidR="00DC17FA" w:rsidRPr="00DF2C8A" w:rsidRDefault="00DC17FA" w:rsidP="00FF074D">
      <w:pPr>
        <w:pStyle w:val="SingleTxtG"/>
        <w:spacing w:line="240" w:lineRule="auto"/>
        <w:rPr>
          <w:rFonts w:eastAsia="SimSun"/>
          <w:b/>
          <w:bCs/>
          <w:lang w:val="en-US" w:eastAsia="zh-CN"/>
        </w:rPr>
      </w:pPr>
      <w:r w:rsidRPr="00DF2C8A">
        <w:rPr>
          <w:rFonts w:eastAsia="SimSun"/>
          <w:b/>
          <w:bCs/>
          <w:lang w:val="en-US" w:eastAsia="zh-CN"/>
        </w:rPr>
        <w:t xml:space="preserve">Abortion </w:t>
      </w:r>
    </w:p>
    <w:p w:rsidR="000B7B89" w:rsidRDefault="00DC17FA" w:rsidP="00764D79">
      <w:pPr>
        <w:pStyle w:val="SingleTxtG"/>
      </w:pPr>
      <w:r w:rsidRPr="001D0636">
        <w:lastRenderedPageBreak/>
        <w:t>2</w:t>
      </w:r>
      <w:r w:rsidR="00E42FBC">
        <w:t>7</w:t>
      </w:r>
      <w:r w:rsidRPr="001D0636">
        <w:t>.</w:t>
      </w:r>
      <w:r w:rsidRPr="001D0636">
        <w:tab/>
      </w:r>
      <w:r w:rsidR="000B7B89" w:rsidRPr="00EC5AB2">
        <w:t xml:space="preserve">The Committee notes the concern expressed by the European Court for Human Rights </w:t>
      </w:r>
      <w:r w:rsidR="000B7B89">
        <w:t>(</w:t>
      </w:r>
      <w:r w:rsidR="000B7B89" w:rsidRPr="00EC5AB2">
        <w:t>ECtHR</w:t>
      </w:r>
      <w:r w:rsidR="000B7B89">
        <w:t>)</w:t>
      </w:r>
      <w:r w:rsidR="000B7B89" w:rsidRPr="00EC5AB2">
        <w:t xml:space="preserve"> about the absence of an effective and accessible domestic procedure in the State party for establishing whether some pregnancies pose a real and substantial medical risk to the life of the mother [</w:t>
      </w:r>
      <w:r w:rsidR="00764D79">
        <w:t>Case of A, B and C</w:t>
      </w:r>
      <w:r w:rsidR="00764D79" w:rsidRPr="00EC5AB2">
        <w:t xml:space="preserve"> v. Ireland</w:t>
      </w:r>
      <w:r w:rsidR="000B7B89" w:rsidRPr="00EC5AB2">
        <w:t>]</w:t>
      </w:r>
      <w:r w:rsidR="0091633B">
        <w:t>,</w:t>
      </w:r>
      <w:r w:rsidR="000B7B89" w:rsidRPr="00EC5AB2">
        <w:t xml:space="preserve"> which leads to uncertainty facing women and their medical doctors, who are also at risk of criminal investigation or punishment if their advice or treatment is deemed illegal. The Committee expresses concern </w:t>
      </w:r>
      <w:r w:rsidR="00EF5E90">
        <w:t xml:space="preserve">at </w:t>
      </w:r>
      <w:r w:rsidR="000B7B89" w:rsidRPr="00EC5AB2">
        <w:t>the lack of clarity cited by the ECtHR and the absence of a legal framework through which differences of opinion could be resolved. Noting the risk of criminal prosecution and imprisonment facing both the women concerned and their physicians, the Committee expresses concern that this may raise issues that constitute a breach of the Convention. The Committee appreciates the intention of the State party, as expressed</w:t>
      </w:r>
      <w:r w:rsidR="000B7B89">
        <w:t xml:space="preserve"> during</w:t>
      </w:r>
      <w:r w:rsidR="000B7B89" w:rsidRPr="00EC5AB2">
        <w:t xml:space="preserve"> the dialogue with the Committee, to establish an expert group to address the issue of abortion and the ECtHR's ruling. The Committee is nonetheless concerned further that despite the already existing case law allowing for abortion, no legislation is in place and that this leads to serious consequences in individual cases, especially affecting minors, migrant women, and the indigent. (articles 2 and 16) </w:t>
      </w:r>
    </w:p>
    <w:p w:rsidR="000B7B89" w:rsidRPr="000B7B89" w:rsidRDefault="000B7B89" w:rsidP="000B7B89">
      <w:pPr>
        <w:pStyle w:val="SingleTxtG"/>
        <w:rPr>
          <w:color w:val="000000"/>
        </w:rPr>
      </w:pPr>
      <w:r w:rsidRPr="00EC5AB2">
        <w:rPr>
          <w:b/>
          <w:bCs/>
        </w:rPr>
        <w:t>The Committee urges the State party to clarify the scope of legal abortion through statutory law and provide for adequate procedures to challe</w:t>
      </w:r>
      <w:r>
        <w:rPr>
          <w:b/>
          <w:bCs/>
        </w:rPr>
        <w:t xml:space="preserve">nge differing medical opinions as well as </w:t>
      </w:r>
      <w:r w:rsidRPr="00EC5AB2">
        <w:rPr>
          <w:b/>
          <w:bCs/>
        </w:rPr>
        <w:t>adequate services for carrying out abortions in the State party, so that its law and practice is in conformity with the Convention.</w:t>
      </w:r>
    </w:p>
    <w:p w:rsidR="001030FA" w:rsidRPr="001D0636" w:rsidRDefault="000B7B89" w:rsidP="007E158D">
      <w:pPr>
        <w:pStyle w:val="H23G"/>
      </w:pPr>
      <w:r>
        <w:tab/>
      </w:r>
      <w:r>
        <w:tab/>
      </w:r>
      <w:r w:rsidR="001030FA" w:rsidRPr="001D0636">
        <w:t>Violence against women including domestic violence</w:t>
      </w:r>
    </w:p>
    <w:p w:rsidR="001030FA" w:rsidRPr="001D0636" w:rsidRDefault="00CB5278" w:rsidP="00E42FBC">
      <w:pPr>
        <w:pStyle w:val="SingleTxtG"/>
      </w:pPr>
      <w:r w:rsidRPr="001D0636">
        <w:rPr>
          <w:lang w:val="en-US"/>
        </w:rPr>
        <w:t>2</w:t>
      </w:r>
      <w:r w:rsidR="00E42FBC">
        <w:rPr>
          <w:lang w:val="en-US"/>
        </w:rPr>
        <w:t>8</w:t>
      </w:r>
      <w:r w:rsidRPr="001D0636">
        <w:rPr>
          <w:lang w:val="en-US"/>
        </w:rPr>
        <w:t>.</w:t>
      </w:r>
      <w:r w:rsidRPr="001D0636">
        <w:rPr>
          <w:lang w:val="en-US"/>
        </w:rPr>
        <w:tab/>
      </w:r>
      <w:r w:rsidRPr="001D0636">
        <w:rPr>
          <w:b/>
          <w:bCs/>
        </w:rPr>
        <w:t xml:space="preserve"> </w:t>
      </w:r>
      <w:r w:rsidR="001030FA" w:rsidRPr="001D0636">
        <w:t>The Committee welcomes measures taken by the State party to prevent and alleviate gender-based violence</w:t>
      </w:r>
      <w:r w:rsidR="000301F6">
        <w:t>,</w:t>
      </w:r>
      <w:r w:rsidR="001030FA" w:rsidRPr="001D0636">
        <w:t xml:space="preserve"> including the adoption of the National Strategy on Domestic Violence 2010-2014. However, the Committee is gravely concerned at reports on the continued high rates of domestic violence against women and at the cuts in funding in 2009 and 2010, for refuge and support services for victims of violence. </w:t>
      </w:r>
    </w:p>
    <w:p w:rsidR="001030FA" w:rsidRPr="007E158D" w:rsidRDefault="001030FA" w:rsidP="007E158D">
      <w:pPr>
        <w:pStyle w:val="SingleTxtG"/>
        <w:rPr>
          <w:b/>
          <w:bCs/>
        </w:rPr>
      </w:pPr>
      <w:r w:rsidRPr="007E158D">
        <w:rPr>
          <w:b/>
          <w:bCs/>
        </w:rPr>
        <w:t>The Committee urges the State party to:</w:t>
      </w:r>
    </w:p>
    <w:p w:rsidR="001030FA" w:rsidRPr="007E158D" w:rsidRDefault="007E158D" w:rsidP="007E158D">
      <w:pPr>
        <w:pStyle w:val="SingleTxtG"/>
        <w:rPr>
          <w:b/>
          <w:bCs/>
        </w:rPr>
      </w:pPr>
      <w:r>
        <w:rPr>
          <w:b/>
          <w:bCs/>
        </w:rPr>
        <w:tab/>
        <w:t>(</w:t>
      </w:r>
      <w:r w:rsidR="008F4CAE" w:rsidRPr="007E158D">
        <w:rPr>
          <w:b/>
          <w:bCs/>
        </w:rPr>
        <w:t>a)</w:t>
      </w:r>
      <w:r w:rsidR="008F4CAE" w:rsidRPr="007E158D">
        <w:rPr>
          <w:b/>
          <w:bCs/>
        </w:rPr>
        <w:tab/>
      </w:r>
      <w:r>
        <w:rPr>
          <w:b/>
          <w:bCs/>
        </w:rPr>
        <w:t>S</w:t>
      </w:r>
      <w:r w:rsidR="001030FA" w:rsidRPr="007E158D">
        <w:rPr>
          <w:b/>
          <w:bCs/>
        </w:rPr>
        <w:t>trengthen its efforts to prevent violence against women through, inter alia, the effective implementation of the National Strategy on Domestic Violence including the collection of relevant data;</w:t>
      </w:r>
    </w:p>
    <w:p w:rsidR="001030FA" w:rsidRPr="007E158D" w:rsidRDefault="007E158D" w:rsidP="007E158D">
      <w:pPr>
        <w:pStyle w:val="SingleTxtG"/>
        <w:rPr>
          <w:b/>
          <w:bCs/>
        </w:rPr>
      </w:pPr>
      <w:r>
        <w:rPr>
          <w:b/>
          <w:bCs/>
        </w:rPr>
        <w:tab/>
        <w:t>(</w:t>
      </w:r>
      <w:r w:rsidR="008F4CAE" w:rsidRPr="007E158D">
        <w:rPr>
          <w:b/>
          <w:bCs/>
        </w:rPr>
        <w:t>b)</w:t>
      </w:r>
      <w:r w:rsidR="008F4CAE" w:rsidRPr="007E158D">
        <w:rPr>
          <w:b/>
          <w:bCs/>
        </w:rPr>
        <w:tab/>
      </w:r>
      <w:r>
        <w:rPr>
          <w:b/>
          <w:bCs/>
        </w:rPr>
        <w:t>E</w:t>
      </w:r>
      <w:r w:rsidR="001030FA" w:rsidRPr="007E158D">
        <w:rPr>
          <w:b/>
          <w:bCs/>
        </w:rPr>
        <w:t>nhance its support and funding of refuge and support services provided to victims of domestic violence;</w:t>
      </w:r>
    </w:p>
    <w:p w:rsidR="001030FA" w:rsidRPr="007E158D" w:rsidRDefault="007E158D" w:rsidP="0098333D">
      <w:pPr>
        <w:pStyle w:val="SingleTxtG"/>
        <w:rPr>
          <w:b/>
          <w:bCs/>
        </w:rPr>
      </w:pPr>
      <w:r>
        <w:rPr>
          <w:b/>
          <w:bCs/>
        </w:rPr>
        <w:tab/>
        <w:t>(</w:t>
      </w:r>
      <w:r w:rsidR="008F4CAE" w:rsidRPr="007E158D">
        <w:rPr>
          <w:b/>
          <w:bCs/>
        </w:rPr>
        <w:t>c)</w:t>
      </w:r>
      <w:r w:rsidR="008F4CAE" w:rsidRPr="007E158D">
        <w:rPr>
          <w:b/>
          <w:bCs/>
        </w:rPr>
        <w:tab/>
      </w:r>
      <w:r>
        <w:rPr>
          <w:b/>
          <w:bCs/>
        </w:rPr>
        <w:t>I</w:t>
      </w:r>
      <w:r w:rsidR="001030FA" w:rsidRPr="007E158D">
        <w:rPr>
          <w:b/>
          <w:bCs/>
        </w:rPr>
        <w:t>nstitute prompt, impartial and thorough investigations into allegations of domestic violence, and where appropriate, prosecutions and convictions.</w:t>
      </w:r>
    </w:p>
    <w:p w:rsidR="001030FA" w:rsidRPr="007E158D" w:rsidRDefault="007E158D" w:rsidP="007E158D">
      <w:pPr>
        <w:pStyle w:val="SingleTxtG"/>
        <w:rPr>
          <w:b/>
          <w:bCs/>
        </w:rPr>
      </w:pPr>
      <w:r>
        <w:rPr>
          <w:b/>
          <w:bCs/>
        </w:rPr>
        <w:tab/>
        <w:t>(</w:t>
      </w:r>
      <w:r w:rsidR="008F4CAE" w:rsidRPr="007E158D">
        <w:rPr>
          <w:b/>
          <w:bCs/>
        </w:rPr>
        <w:t>d)</w:t>
      </w:r>
      <w:r w:rsidR="008F4CAE" w:rsidRPr="007E158D">
        <w:rPr>
          <w:b/>
          <w:bCs/>
        </w:rPr>
        <w:tab/>
      </w:r>
      <w:r>
        <w:rPr>
          <w:b/>
          <w:bCs/>
        </w:rPr>
        <w:t>A</w:t>
      </w:r>
      <w:r w:rsidR="001030FA" w:rsidRPr="007E158D">
        <w:rPr>
          <w:b/>
          <w:bCs/>
        </w:rPr>
        <w:t>mend the Domestic Violence Act of 1996 so as to include clear criteria to grant safety and barring orders and extend eligibility for all parties who are or have been in an intimate relationship regardless of cohabitation in line with internationally recognised best practice, and</w:t>
      </w:r>
    </w:p>
    <w:p w:rsidR="001030FA" w:rsidRPr="007E158D" w:rsidRDefault="007E158D" w:rsidP="007E158D">
      <w:pPr>
        <w:pStyle w:val="SingleTxtG"/>
        <w:rPr>
          <w:b/>
          <w:bCs/>
        </w:rPr>
      </w:pPr>
      <w:r>
        <w:rPr>
          <w:b/>
          <w:bCs/>
        </w:rPr>
        <w:tab/>
        <w:t>(</w:t>
      </w:r>
      <w:r w:rsidR="008F4CAE" w:rsidRPr="007E158D">
        <w:rPr>
          <w:b/>
          <w:bCs/>
        </w:rPr>
        <w:t>e)</w:t>
      </w:r>
      <w:r w:rsidR="008F4CAE" w:rsidRPr="007E158D">
        <w:rPr>
          <w:b/>
          <w:bCs/>
        </w:rPr>
        <w:tab/>
      </w:r>
      <w:r>
        <w:rPr>
          <w:b/>
          <w:bCs/>
        </w:rPr>
        <w:t>E</w:t>
      </w:r>
      <w:r w:rsidR="001030FA" w:rsidRPr="007E158D">
        <w:rPr>
          <w:b/>
          <w:bCs/>
        </w:rPr>
        <w:t xml:space="preserve">nsure that migrant women with dependent immigration status, who are experiencing domestic </w:t>
      </w:r>
      <w:r w:rsidR="00ED6598" w:rsidRPr="007E158D">
        <w:rPr>
          <w:b/>
          <w:bCs/>
        </w:rPr>
        <w:t>violence,</w:t>
      </w:r>
      <w:r w:rsidR="001030FA" w:rsidRPr="007E158D">
        <w:rPr>
          <w:b/>
          <w:bCs/>
        </w:rPr>
        <w:t xml:space="preserve"> should be afforded independent status under legislation.</w:t>
      </w:r>
    </w:p>
    <w:p w:rsidR="001030FA" w:rsidRPr="001D0636" w:rsidRDefault="007E158D" w:rsidP="007E158D">
      <w:pPr>
        <w:pStyle w:val="H23G"/>
        <w:rPr>
          <w:lang w:val="en-US"/>
        </w:rPr>
      </w:pPr>
      <w:r>
        <w:rPr>
          <w:lang w:val="en-US"/>
        </w:rPr>
        <w:tab/>
      </w:r>
      <w:r>
        <w:rPr>
          <w:lang w:val="en-US"/>
        </w:rPr>
        <w:tab/>
      </w:r>
      <w:r w:rsidR="001030FA" w:rsidRPr="001D0636">
        <w:rPr>
          <w:lang w:val="en-US"/>
        </w:rPr>
        <w:t>Treatment of persons with mental disabilities</w:t>
      </w:r>
    </w:p>
    <w:p w:rsidR="00CB5278" w:rsidRPr="001D0636" w:rsidRDefault="001D0636" w:rsidP="001316BB">
      <w:pPr>
        <w:pStyle w:val="SingleTxtG"/>
      </w:pPr>
      <w:r w:rsidRPr="001D0636">
        <w:t>2</w:t>
      </w:r>
      <w:r w:rsidR="00E42FBC">
        <w:t>9</w:t>
      </w:r>
      <w:r w:rsidRPr="001D0636">
        <w:t>.</w:t>
      </w:r>
      <w:r w:rsidRPr="001D0636">
        <w:tab/>
      </w:r>
      <w:r w:rsidR="00CB5278" w:rsidRPr="001D0636">
        <w:t>The Committee expresses concern at the fact that the definition of a voluntary patient is not sufficiently drawn to protect the right to liberty of a person who might be admitted to an approved mental health centre. The Committee further regrets the lack of clarity on the reclassification of mentally disabled persons from voluntary to involuntary. (articles 2 and 16)</w:t>
      </w:r>
    </w:p>
    <w:p w:rsidR="00CB5278" w:rsidRPr="007E158D" w:rsidRDefault="00CB5278" w:rsidP="007E158D">
      <w:pPr>
        <w:pStyle w:val="SingleTxtG"/>
        <w:rPr>
          <w:b/>
          <w:bCs/>
        </w:rPr>
      </w:pPr>
      <w:r w:rsidRPr="007E158D">
        <w:rPr>
          <w:b/>
          <w:bCs/>
        </w:rPr>
        <w:lastRenderedPageBreak/>
        <w:t>The Committee recommends that the State party should review its Mental Health Act of 2001 in order to ensure that it complies with international standards. The Committee, therefore, recommends that the State party should report on the specific measures taken to bring its legislation in line with internationally accepted standards in its second periodic report.</w:t>
      </w:r>
    </w:p>
    <w:p w:rsidR="00CB5278" w:rsidRPr="001D0636" w:rsidRDefault="00CB5278" w:rsidP="0098333D">
      <w:pPr>
        <w:pStyle w:val="H23G"/>
      </w:pPr>
      <w:r w:rsidRPr="001D0636">
        <w:tab/>
      </w:r>
      <w:r w:rsidRPr="001D0636">
        <w:tab/>
      </w:r>
      <w:r w:rsidR="0098333D">
        <w:t xml:space="preserve">Protection </w:t>
      </w:r>
      <w:r w:rsidR="00EF5E90">
        <w:t xml:space="preserve">of </w:t>
      </w:r>
      <w:r w:rsidR="00EF5E90" w:rsidRPr="001D0636">
        <w:t>separated</w:t>
      </w:r>
      <w:r w:rsidR="00BC63C8">
        <w:t xml:space="preserve"> and </w:t>
      </w:r>
      <w:r w:rsidRPr="001D0636">
        <w:t>unaccompanied minors</w:t>
      </w:r>
    </w:p>
    <w:p w:rsidR="00BC63C8" w:rsidRPr="001234AD" w:rsidRDefault="00E42FBC" w:rsidP="001316BB">
      <w:pPr>
        <w:pStyle w:val="SingleTxtG"/>
      </w:pPr>
      <w:r>
        <w:t>30</w:t>
      </w:r>
      <w:r w:rsidR="00CB5278" w:rsidRPr="001D0636">
        <w:t>.</w:t>
      </w:r>
      <w:r w:rsidR="00CB5278" w:rsidRPr="001D0636">
        <w:tab/>
        <w:t xml:space="preserve">While taking note of information provided by the State party regarding the procedure to protect </w:t>
      </w:r>
      <w:r w:rsidR="001234AD">
        <w:t xml:space="preserve">separated and </w:t>
      </w:r>
      <w:r w:rsidR="00CB5278" w:rsidRPr="001D0636">
        <w:t xml:space="preserve">unaccompanied minors under the mandate of the Health Service Executive (HSE), the Committee is deeply concerned </w:t>
      </w:r>
      <w:r w:rsidR="001234AD">
        <w:t>that between 2000 and 2010, a total of 509 children went missing and only 58 were accounted for</w:t>
      </w:r>
      <w:r w:rsidR="009F27C0">
        <w:t>. The Committee further regrets</w:t>
      </w:r>
      <w:r w:rsidR="00CB5278" w:rsidRPr="001D0636">
        <w:t xml:space="preserve"> the lack of information from the State party on the measures taken to prevent </w:t>
      </w:r>
      <w:r w:rsidR="009F27C0">
        <w:t xml:space="preserve">this phenomenon </w:t>
      </w:r>
      <w:r w:rsidR="00CB5278" w:rsidRPr="001D0636">
        <w:t xml:space="preserve">and </w:t>
      </w:r>
      <w:r w:rsidR="0091633B">
        <w:t xml:space="preserve">to </w:t>
      </w:r>
      <w:r w:rsidR="00CB5278" w:rsidRPr="001D0636">
        <w:t xml:space="preserve">protect </w:t>
      </w:r>
      <w:r w:rsidR="0091633B">
        <w:t>these minors</w:t>
      </w:r>
      <w:r w:rsidR="00CB5278" w:rsidRPr="001D0636">
        <w:t xml:space="preserve"> from other forms of exploitation. (articles 2 and 16).</w:t>
      </w:r>
    </w:p>
    <w:p w:rsidR="00DC17FA" w:rsidRPr="007E158D" w:rsidRDefault="00CB5278" w:rsidP="00684476">
      <w:pPr>
        <w:pStyle w:val="SingleTxtG"/>
        <w:rPr>
          <w:rFonts w:eastAsia="SimSun"/>
          <w:b/>
          <w:bCs/>
          <w:lang w:eastAsia="zh-CN"/>
        </w:rPr>
      </w:pPr>
      <w:r w:rsidRPr="007E158D">
        <w:rPr>
          <w:b/>
          <w:bCs/>
        </w:rPr>
        <w:t xml:space="preserve">The State party </w:t>
      </w:r>
      <w:r w:rsidR="000E02B9">
        <w:rPr>
          <w:b/>
          <w:bCs/>
        </w:rPr>
        <w:t>should</w:t>
      </w:r>
      <w:r w:rsidR="000E02B9" w:rsidRPr="007E158D">
        <w:rPr>
          <w:b/>
          <w:bCs/>
        </w:rPr>
        <w:t xml:space="preserve"> </w:t>
      </w:r>
      <w:r w:rsidRPr="007E158D">
        <w:rPr>
          <w:b/>
          <w:bCs/>
        </w:rPr>
        <w:t xml:space="preserve">take measures to protect </w:t>
      </w:r>
      <w:r w:rsidR="009A4401">
        <w:rPr>
          <w:b/>
          <w:bCs/>
        </w:rPr>
        <w:t xml:space="preserve">separated and </w:t>
      </w:r>
      <w:r w:rsidRPr="007E158D">
        <w:rPr>
          <w:b/>
          <w:bCs/>
        </w:rPr>
        <w:t>unaccompanied minors</w:t>
      </w:r>
      <w:r w:rsidR="00684476">
        <w:rPr>
          <w:b/>
          <w:bCs/>
        </w:rPr>
        <w:t>.</w:t>
      </w:r>
      <w:r w:rsidR="000E02B9">
        <w:rPr>
          <w:b/>
          <w:bCs/>
        </w:rPr>
        <w:t xml:space="preserve"> </w:t>
      </w:r>
      <w:r w:rsidRPr="007E158D">
        <w:rPr>
          <w:b/>
          <w:bCs/>
        </w:rPr>
        <w:t>The State</w:t>
      </w:r>
      <w:r w:rsidR="0059604C">
        <w:rPr>
          <w:b/>
          <w:bCs/>
        </w:rPr>
        <w:t xml:space="preserve"> party</w:t>
      </w:r>
      <w:r w:rsidRPr="007E158D">
        <w:rPr>
          <w:b/>
          <w:bCs/>
        </w:rPr>
        <w:t xml:space="preserve"> should, in this regard, provide data on specific measures taken to protect the plight of </w:t>
      </w:r>
      <w:r w:rsidR="00924D82">
        <w:rPr>
          <w:b/>
          <w:bCs/>
        </w:rPr>
        <w:t xml:space="preserve">separated and </w:t>
      </w:r>
      <w:r w:rsidRPr="007E158D">
        <w:rPr>
          <w:b/>
          <w:bCs/>
        </w:rPr>
        <w:t>unaccompanied minors.</w:t>
      </w:r>
    </w:p>
    <w:p w:rsidR="00CB5278" w:rsidRPr="001D0636" w:rsidRDefault="007E158D" w:rsidP="007E158D">
      <w:pPr>
        <w:pStyle w:val="H23G"/>
        <w:rPr>
          <w:rFonts w:eastAsia="SimSun"/>
          <w:lang w:val="en-US" w:eastAsia="zh-CN"/>
        </w:rPr>
      </w:pPr>
      <w:r>
        <w:rPr>
          <w:rFonts w:eastAsia="SimSun"/>
          <w:lang w:val="en-US" w:eastAsia="zh-CN"/>
        </w:rPr>
        <w:tab/>
      </w:r>
      <w:r>
        <w:rPr>
          <w:rFonts w:eastAsia="SimSun"/>
          <w:lang w:val="en-US" w:eastAsia="zh-CN"/>
        </w:rPr>
        <w:tab/>
      </w:r>
      <w:r w:rsidR="00CB5278" w:rsidRPr="001D0636">
        <w:rPr>
          <w:rFonts w:eastAsia="SimSun"/>
          <w:lang w:val="en-US" w:eastAsia="zh-CN"/>
        </w:rPr>
        <w:t>Training of law enforcement personnel</w:t>
      </w:r>
    </w:p>
    <w:p w:rsidR="00CB5278" w:rsidRPr="001D0636" w:rsidRDefault="00E42FBC" w:rsidP="00641355">
      <w:pPr>
        <w:pStyle w:val="SingleTxtG"/>
        <w:rPr>
          <w:rFonts w:eastAsia="SimSun"/>
          <w:lang w:val="en-US" w:eastAsia="zh-CN"/>
        </w:rPr>
      </w:pPr>
      <w:r>
        <w:rPr>
          <w:rFonts w:eastAsia="SimSun"/>
          <w:lang w:val="en-US" w:eastAsia="zh-CN"/>
        </w:rPr>
        <w:t>31</w:t>
      </w:r>
      <w:r w:rsidR="00CB5278" w:rsidRPr="001D0636">
        <w:rPr>
          <w:rFonts w:eastAsia="SimSun"/>
          <w:lang w:val="en-US" w:eastAsia="zh-CN"/>
        </w:rPr>
        <w:t>.</w:t>
      </w:r>
      <w:r w:rsidR="00CB5278" w:rsidRPr="001D0636">
        <w:rPr>
          <w:rFonts w:eastAsia="SimSun"/>
          <w:lang w:val="en-US" w:eastAsia="zh-CN"/>
        </w:rPr>
        <w:tab/>
        <w:t xml:space="preserve">While welcoming the information provided by the State party on the general training programmes for the </w:t>
      </w:r>
      <w:r w:rsidR="00641355" w:rsidRPr="001D0636">
        <w:t>Police Force</w:t>
      </w:r>
      <w:r w:rsidR="00CB5278" w:rsidRPr="00641355">
        <w:t xml:space="preserve"> </w:t>
      </w:r>
      <w:r w:rsidR="00CB5278" w:rsidRPr="001D0636">
        <w:t>(</w:t>
      </w:r>
      <w:r w:rsidR="00641355" w:rsidRPr="00641355">
        <w:t>Garda Síochána</w:t>
      </w:r>
      <w:r w:rsidR="00CB5278" w:rsidRPr="001D0636">
        <w:t>)</w:t>
      </w:r>
      <w:r w:rsidR="00CB5278" w:rsidRPr="001D0636">
        <w:rPr>
          <w:rFonts w:eastAsia="SimSun"/>
          <w:lang w:val="en-US" w:eastAsia="zh-CN"/>
        </w:rPr>
        <w:t>, the Committee is concerned at the lack of specific training of law enforcement personnel with regard to the prohibition of torture and ill-treatment and medical officers focusing on the Manual on the Effective Investigation and Documentation of Torture and Other Cruel, Inhuman or Degrading Treatment or Punishment (Istanbul Protocol) (art</w:t>
      </w:r>
      <w:r w:rsidR="00BE04CC">
        <w:rPr>
          <w:rFonts w:eastAsia="SimSun"/>
          <w:lang w:val="en-US" w:eastAsia="zh-CN"/>
        </w:rPr>
        <w:t>icle</w:t>
      </w:r>
      <w:r w:rsidR="007E16F5">
        <w:rPr>
          <w:rFonts w:eastAsia="SimSun"/>
          <w:lang w:val="en-US" w:eastAsia="zh-CN"/>
        </w:rPr>
        <w:t>s 2,</w:t>
      </w:r>
      <w:r w:rsidR="00CB5278" w:rsidRPr="001D0636">
        <w:rPr>
          <w:rFonts w:eastAsia="SimSun"/>
          <w:lang w:val="en-US" w:eastAsia="zh-CN"/>
        </w:rPr>
        <w:t xml:space="preserve"> 10</w:t>
      </w:r>
      <w:r w:rsidR="007E16F5">
        <w:rPr>
          <w:rFonts w:eastAsia="SimSun"/>
          <w:lang w:val="en-US" w:eastAsia="zh-CN"/>
        </w:rPr>
        <w:t xml:space="preserve"> and 16</w:t>
      </w:r>
      <w:r w:rsidR="00CB5278" w:rsidRPr="001D0636">
        <w:rPr>
          <w:rFonts w:eastAsia="SimSun"/>
          <w:lang w:val="en-US" w:eastAsia="zh-CN"/>
        </w:rPr>
        <w:t>).</w:t>
      </w:r>
    </w:p>
    <w:p w:rsidR="00CB5278" w:rsidRPr="007E158D" w:rsidRDefault="00CB5278" w:rsidP="007E158D">
      <w:pPr>
        <w:pStyle w:val="SingleTxtG"/>
        <w:rPr>
          <w:rFonts w:eastAsia="SimSun"/>
          <w:b/>
          <w:bCs/>
          <w:lang w:val="en-US" w:eastAsia="zh-CN"/>
        </w:rPr>
      </w:pPr>
      <w:r w:rsidRPr="007E158D">
        <w:rPr>
          <w:rFonts w:eastAsia="SimSun"/>
          <w:b/>
          <w:bCs/>
          <w:lang w:val="en-US" w:eastAsia="zh-CN"/>
        </w:rPr>
        <w:t>The Committee recommends that the State party should:</w:t>
      </w:r>
    </w:p>
    <w:p w:rsidR="00CB5278" w:rsidRPr="007E158D" w:rsidRDefault="007E158D" w:rsidP="00BE04CC">
      <w:pPr>
        <w:pStyle w:val="SingleTxtG"/>
        <w:rPr>
          <w:rFonts w:eastAsia="SimSun"/>
          <w:b/>
          <w:bCs/>
          <w:lang w:val="en-US" w:eastAsia="zh-CN"/>
        </w:rPr>
      </w:pPr>
      <w:r>
        <w:rPr>
          <w:rFonts w:eastAsia="SimSun"/>
          <w:b/>
          <w:bCs/>
          <w:lang w:val="en-US" w:eastAsia="zh-CN"/>
        </w:rPr>
        <w:tab/>
      </w:r>
      <w:r w:rsidR="008F4CAE" w:rsidRPr="007E158D">
        <w:rPr>
          <w:rFonts w:eastAsia="SimSun"/>
          <w:b/>
          <w:bCs/>
          <w:lang w:val="en-US" w:eastAsia="zh-CN"/>
        </w:rPr>
        <w:t>(a)</w:t>
      </w:r>
      <w:r w:rsidR="008F4CAE" w:rsidRPr="007E158D">
        <w:rPr>
          <w:rFonts w:eastAsia="SimSun"/>
          <w:b/>
          <w:bCs/>
          <w:lang w:val="en-US" w:eastAsia="zh-CN"/>
        </w:rPr>
        <w:tab/>
      </w:r>
      <w:r>
        <w:rPr>
          <w:rFonts w:eastAsia="SimSun"/>
          <w:b/>
          <w:bCs/>
          <w:lang w:val="en-US" w:eastAsia="zh-CN"/>
        </w:rPr>
        <w:t>E</w:t>
      </w:r>
      <w:r w:rsidR="00CB5278" w:rsidRPr="007E158D">
        <w:rPr>
          <w:rFonts w:eastAsia="SimSun"/>
          <w:b/>
          <w:bCs/>
          <w:lang w:val="en-US" w:eastAsia="zh-CN"/>
        </w:rPr>
        <w:t>nsure that law enforcement personnel are provided</w:t>
      </w:r>
      <w:r w:rsidR="00BE04CC">
        <w:rPr>
          <w:rFonts w:eastAsia="SimSun"/>
          <w:b/>
          <w:bCs/>
          <w:lang w:val="en-US" w:eastAsia="zh-CN"/>
        </w:rPr>
        <w:t>, on a regular and systematic basis,</w:t>
      </w:r>
      <w:r w:rsidR="00CB5278" w:rsidRPr="007E158D">
        <w:rPr>
          <w:rFonts w:eastAsia="SimSun"/>
          <w:b/>
          <w:bCs/>
          <w:lang w:val="en-US" w:eastAsia="zh-CN"/>
        </w:rPr>
        <w:t xml:space="preserve"> with the necessary training </w:t>
      </w:r>
      <w:r w:rsidR="00BE04CC">
        <w:rPr>
          <w:rFonts w:eastAsia="SimSun"/>
          <w:b/>
          <w:bCs/>
          <w:lang w:val="en-US" w:eastAsia="zh-CN"/>
        </w:rPr>
        <w:t xml:space="preserve">on the provisions of the Convention especially </w:t>
      </w:r>
      <w:r w:rsidR="00CB5278" w:rsidRPr="007E158D">
        <w:rPr>
          <w:rFonts w:eastAsia="SimSun"/>
          <w:b/>
          <w:bCs/>
          <w:lang w:val="en-US" w:eastAsia="zh-CN"/>
        </w:rPr>
        <w:t>with regard to the prohibition of torture;</w:t>
      </w:r>
    </w:p>
    <w:p w:rsidR="00CB5278" w:rsidRPr="007E158D" w:rsidRDefault="007E158D" w:rsidP="00994297">
      <w:pPr>
        <w:pStyle w:val="SingleTxtG"/>
        <w:rPr>
          <w:rFonts w:eastAsia="SimSun"/>
          <w:b/>
          <w:bCs/>
          <w:lang w:val="en-US" w:eastAsia="zh-CN"/>
        </w:rPr>
      </w:pPr>
      <w:r>
        <w:rPr>
          <w:rFonts w:eastAsia="SimSun"/>
          <w:b/>
          <w:bCs/>
          <w:lang w:val="en-US" w:eastAsia="zh-CN"/>
        </w:rPr>
        <w:tab/>
      </w:r>
      <w:r w:rsidR="008F4CAE" w:rsidRPr="007E158D">
        <w:rPr>
          <w:rFonts w:eastAsia="SimSun"/>
          <w:b/>
          <w:bCs/>
          <w:lang w:val="en-US" w:eastAsia="zh-CN"/>
        </w:rPr>
        <w:t>(b)</w:t>
      </w:r>
      <w:r w:rsidR="008F4CAE" w:rsidRPr="007E158D">
        <w:rPr>
          <w:rFonts w:eastAsia="SimSun"/>
          <w:b/>
          <w:bCs/>
          <w:lang w:val="en-US" w:eastAsia="zh-CN"/>
        </w:rPr>
        <w:tab/>
      </w:r>
      <w:r w:rsidR="00CB5278" w:rsidRPr="007E158D">
        <w:rPr>
          <w:rFonts w:eastAsia="SimSun"/>
          <w:b/>
          <w:bCs/>
          <w:lang w:val="en-US" w:eastAsia="zh-CN"/>
        </w:rPr>
        <w:t>Ensure that medical personnel and others involved in the custody, interrogation or treatment of any individual subjected to any form of arrest, detention or imprisonment as well as other professionals involved in documentation and investigation of torture are provided</w:t>
      </w:r>
      <w:r w:rsidR="006E0BE3" w:rsidRPr="007E158D">
        <w:rPr>
          <w:rFonts w:eastAsia="SimSun"/>
          <w:b/>
          <w:bCs/>
          <w:lang w:val="en-US" w:eastAsia="zh-CN"/>
        </w:rPr>
        <w:t>,</w:t>
      </w:r>
      <w:r w:rsidR="00CB5278" w:rsidRPr="007E158D">
        <w:rPr>
          <w:rFonts w:eastAsia="SimSun"/>
          <w:b/>
          <w:bCs/>
          <w:lang w:val="en-US" w:eastAsia="zh-CN"/>
        </w:rPr>
        <w:t xml:space="preserve"> on a regular and systematic basis</w:t>
      </w:r>
      <w:r w:rsidR="006E0BE3" w:rsidRPr="007E158D">
        <w:rPr>
          <w:rFonts w:eastAsia="SimSun"/>
          <w:b/>
          <w:bCs/>
          <w:lang w:val="en-US" w:eastAsia="zh-CN"/>
        </w:rPr>
        <w:t>,</w:t>
      </w:r>
      <w:r w:rsidR="00CB5278" w:rsidRPr="007E158D">
        <w:rPr>
          <w:rFonts w:eastAsia="SimSun"/>
          <w:b/>
          <w:bCs/>
          <w:lang w:val="en-US" w:eastAsia="zh-CN"/>
        </w:rPr>
        <w:t xml:space="preserve"> with training on the Manual on the Effective Investigation and Documentation of Torture and Other Cruel, Inhuman or Degrading Treatment or Punishment (Istanbul Protocol) and that the Manual is translated into all appropriate languages. The State party should also ensure that such training</w:t>
      </w:r>
      <w:r w:rsidR="00757FBF" w:rsidRPr="007E158D">
        <w:rPr>
          <w:rFonts w:eastAsia="SimSun"/>
          <w:b/>
          <w:bCs/>
          <w:lang w:val="en-US" w:eastAsia="zh-CN"/>
        </w:rPr>
        <w:t xml:space="preserve"> is</w:t>
      </w:r>
      <w:r w:rsidR="00CB5278" w:rsidRPr="007E158D">
        <w:rPr>
          <w:rFonts w:eastAsia="SimSun"/>
          <w:b/>
          <w:bCs/>
          <w:lang w:val="en-US" w:eastAsia="zh-CN"/>
        </w:rPr>
        <w:t xml:space="preserve"> also provided to individuals involved in asylum determination procedures;</w:t>
      </w:r>
    </w:p>
    <w:p w:rsidR="00CB5278" w:rsidRPr="007E158D" w:rsidRDefault="007E158D" w:rsidP="00516FCD">
      <w:pPr>
        <w:pStyle w:val="SingleTxtG"/>
        <w:rPr>
          <w:rFonts w:eastAsia="SimSun"/>
          <w:b/>
          <w:bCs/>
          <w:lang w:val="en-US" w:eastAsia="zh-CN"/>
        </w:rPr>
      </w:pPr>
      <w:r>
        <w:rPr>
          <w:rFonts w:eastAsia="SimSun"/>
          <w:b/>
          <w:bCs/>
          <w:lang w:val="en-US" w:eastAsia="zh-CN"/>
        </w:rPr>
        <w:tab/>
      </w:r>
      <w:r w:rsidR="008F4CAE" w:rsidRPr="007E158D">
        <w:rPr>
          <w:rFonts w:eastAsia="SimSun"/>
          <w:b/>
          <w:bCs/>
          <w:lang w:val="en-US" w:eastAsia="zh-CN"/>
        </w:rPr>
        <w:t>(c)</w:t>
      </w:r>
      <w:r w:rsidR="008F4CAE" w:rsidRPr="007E158D">
        <w:rPr>
          <w:rFonts w:eastAsia="SimSun"/>
          <w:b/>
          <w:bCs/>
          <w:lang w:val="en-US" w:eastAsia="zh-CN"/>
        </w:rPr>
        <w:tab/>
      </w:r>
      <w:r w:rsidR="00CB5278" w:rsidRPr="007E158D">
        <w:rPr>
          <w:rFonts w:eastAsia="SimSun"/>
          <w:b/>
          <w:bCs/>
          <w:lang w:val="en-US" w:eastAsia="zh-CN"/>
        </w:rPr>
        <w:t xml:space="preserve">Develop and implement a methodology to assess the effectiveness and impact of such educational and training programmes </w:t>
      </w:r>
      <w:r w:rsidR="00516FCD">
        <w:rPr>
          <w:rFonts w:eastAsia="SimSun"/>
          <w:b/>
          <w:bCs/>
          <w:lang w:val="en-US" w:eastAsia="zh-CN"/>
        </w:rPr>
        <w:t>on the</w:t>
      </w:r>
      <w:r w:rsidR="003058E5">
        <w:rPr>
          <w:rFonts w:eastAsia="SimSun"/>
          <w:b/>
          <w:bCs/>
          <w:lang w:val="en-US" w:eastAsia="zh-CN"/>
        </w:rPr>
        <w:t xml:space="preserve"> prevent</w:t>
      </w:r>
      <w:r w:rsidR="00516FCD">
        <w:rPr>
          <w:rFonts w:eastAsia="SimSun"/>
          <w:b/>
          <w:bCs/>
          <w:lang w:val="en-US" w:eastAsia="zh-CN"/>
        </w:rPr>
        <w:t>ion of</w:t>
      </w:r>
      <w:r w:rsidR="00CB5278" w:rsidRPr="007E158D">
        <w:rPr>
          <w:rFonts w:eastAsia="SimSun"/>
          <w:b/>
          <w:bCs/>
          <w:lang w:val="en-US" w:eastAsia="zh-CN"/>
        </w:rPr>
        <w:t xml:space="preserve"> torture and ill-treatment and regularly evaluate the training provided to its law enforcement officials;</w:t>
      </w:r>
    </w:p>
    <w:p w:rsidR="00CB5278" w:rsidRPr="007E158D" w:rsidRDefault="007E158D" w:rsidP="007E158D">
      <w:pPr>
        <w:pStyle w:val="SingleTxtG"/>
        <w:rPr>
          <w:rFonts w:eastAsia="SimSun"/>
          <w:b/>
          <w:bCs/>
          <w:lang w:val="en-US" w:eastAsia="zh-CN"/>
        </w:rPr>
      </w:pPr>
      <w:r>
        <w:rPr>
          <w:rFonts w:eastAsia="SimSun"/>
          <w:b/>
          <w:bCs/>
          <w:lang w:val="en-US" w:eastAsia="zh-CN"/>
        </w:rPr>
        <w:tab/>
      </w:r>
      <w:r w:rsidR="008F4CAE" w:rsidRPr="007E158D">
        <w:rPr>
          <w:rFonts w:eastAsia="SimSun"/>
          <w:b/>
          <w:bCs/>
          <w:lang w:val="en-US" w:eastAsia="zh-CN"/>
        </w:rPr>
        <w:t>(d)</w:t>
      </w:r>
      <w:r w:rsidR="008F4CAE" w:rsidRPr="007E158D">
        <w:rPr>
          <w:rFonts w:eastAsia="SimSun"/>
          <w:b/>
          <w:bCs/>
          <w:lang w:val="en-US" w:eastAsia="zh-CN"/>
        </w:rPr>
        <w:tab/>
      </w:r>
      <w:r w:rsidR="00CB5278" w:rsidRPr="007E158D">
        <w:rPr>
          <w:rFonts w:eastAsia="SimSun"/>
          <w:b/>
          <w:bCs/>
          <w:lang w:val="en-US" w:eastAsia="zh-CN"/>
        </w:rPr>
        <w:t>Strengthen its efforts to implement a gender-sensitive approach for the training of those involved in the custody, interrogation or treatment of women subjected to any form of arrest, detention or imprisonment;</w:t>
      </w:r>
    </w:p>
    <w:p w:rsidR="00B354BD" w:rsidRDefault="007E158D" w:rsidP="007E158D">
      <w:pPr>
        <w:pStyle w:val="SingleTxtG"/>
        <w:rPr>
          <w:rFonts w:eastAsia="SimSun"/>
          <w:b/>
          <w:bCs/>
          <w:lang w:val="en-US" w:eastAsia="zh-CN"/>
        </w:rPr>
      </w:pPr>
      <w:r>
        <w:rPr>
          <w:rFonts w:eastAsia="SimSun"/>
          <w:b/>
          <w:bCs/>
          <w:lang w:val="en-US" w:eastAsia="zh-CN"/>
        </w:rPr>
        <w:tab/>
      </w:r>
      <w:r w:rsidR="008F4CAE" w:rsidRPr="007E158D">
        <w:rPr>
          <w:rFonts w:eastAsia="SimSun"/>
          <w:b/>
          <w:bCs/>
          <w:lang w:val="en-US" w:eastAsia="zh-CN"/>
        </w:rPr>
        <w:t>(e)</w:t>
      </w:r>
      <w:r w:rsidR="008F4CAE" w:rsidRPr="007E158D">
        <w:rPr>
          <w:rFonts w:eastAsia="SimSun"/>
          <w:b/>
          <w:bCs/>
          <w:lang w:val="en-US" w:eastAsia="zh-CN"/>
        </w:rPr>
        <w:tab/>
      </w:r>
      <w:r w:rsidR="00B354BD">
        <w:rPr>
          <w:rFonts w:eastAsia="SimSun"/>
          <w:b/>
          <w:bCs/>
          <w:lang w:val="en-US" w:eastAsia="zh-CN"/>
        </w:rPr>
        <w:t>Strengthen its efforts to ensure training of law enforcement personnel and others on the treatment of vulnerable groups at risk of ill-treatment such as children, migrants, Travellers, Roma and other vulnerable groups; and</w:t>
      </w:r>
    </w:p>
    <w:p w:rsidR="00CB5278" w:rsidRPr="007E158D" w:rsidRDefault="00B354BD" w:rsidP="00516FCD">
      <w:pPr>
        <w:pStyle w:val="SingleTxtG"/>
        <w:ind w:firstLine="567"/>
        <w:rPr>
          <w:rFonts w:eastAsia="SimSun"/>
          <w:b/>
          <w:bCs/>
          <w:lang w:val="en-US" w:eastAsia="zh-CN"/>
        </w:rPr>
      </w:pPr>
      <w:r>
        <w:rPr>
          <w:rFonts w:eastAsia="SimSun"/>
          <w:b/>
          <w:bCs/>
          <w:lang w:val="en-US" w:eastAsia="zh-CN"/>
        </w:rPr>
        <w:t>(f)</w:t>
      </w:r>
      <w:r>
        <w:rPr>
          <w:rFonts w:eastAsia="SimSun"/>
          <w:b/>
          <w:bCs/>
          <w:lang w:val="en-US" w:eastAsia="zh-CN"/>
        </w:rPr>
        <w:tab/>
      </w:r>
      <w:r w:rsidR="00CB5278" w:rsidRPr="007E158D">
        <w:rPr>
          <w:rFonts w:eastAsia="SimSun"/>
          <w:b/>
          <w:bCs/>
          <w:lang w:val="en-US" w:eastAsia="zh-CN"/>
        </w:rPr>
        <w:t xml:space="preserve">Strengthen professional training in </w:t>
      </w:r>
      <w:r w:rsidR="0001712F">
        <w:rPr>
          <w:rFonts w:eastAsia="SimSun"/>
          <w:b/>
          <w:bCs/>
          <w:lang w:val="en-US" w:eastAsia="zh-CN"/>
        </w:rPr>
        <w:t xml:space="preserve">hospitals, medical and </w:t>
      </w:r>
      <w:r w:rsidR="00CB5278" w:rsidRPr="007E158D">
        <w:rPr>
          <w:rFonts w:eastAsia="SimSun"/>
          <w:b/>
          <w:bCs/>
          <w:lang w:val="en-US" w:eastAsia="zh-CN"/>
        </w:rPr>
        <w:t xml:space="preserve">social </w:t>
      </w:r>
      <w:r w:rsidR="002A4A85" w:rsidRPr="007E158D">
        <w:rPr>
          <w:rFonts w:eastAsia="SimSun"/>
          <w:b/>
          <w:bCs/>
          <w:lang w:val="en-US" w:eastAsia="zh-CN"/>
        </w:rPr>
        <w:t>institutions</w:t>
      </w:r>
      <w:r w:rsidR="002A4A85" w:rsidRPr="007E158D" w:rsidDel="00516FCD">
        <w:rPr>
          <w:rFonts w:eastAsia="SimSun"/>
          <w:b/>
          <w:bCs/>
          <w:lang w:val="en-US" w:eastAsia="zh-CN"/>
        </w:rPr>
        <w:t>.</w:t>
      </w:r>
    </w:p>
    <w:p w:rsidR="00D9415B" w:rsidRPr="001D0636" w:rsidRDefault="001D0636" w:rsidP="00DA30C6">
      <w:pPr>
        <w:pStyle w:val="SingleTxtG"/>
        <w:rPr>
          <w:lang w:val="en-US"/>
        </w:rPr>
      </w:pPr>
      <w:r>
        <w:rPr>
          <w:lang w:val="en-US"/>
        </w:rPr>
        <w:lastRenderedPageBreak/>
        <w:t>3</w:t>
      </w:r>
      <w:r w:rsidR="00E42FBC">
        <w:rPr>
          <w:lang w:val="en-US"/>
        </w:rPr>
        <w:t>2</w:t>
      </w:r>
      <w:r w:rsidR="00D9415B" w:rsidRPr="001D0636">
        <w:rPr>
          <w:lang w:val="en-US"/>
        </w:rPr>
        <w:t>.</w:t>
      </w:r>
      <w:r w:rsidR="00D9415B" w:rsidRPr="001D0636">
        <w:rPr>
          <w:lang w:val="en-US"/>
        </w:rPr>
        <w:tab/>
        <w:t xml:space="preserve"> The Committee invites the State party to ratify the core United Nations human rights treaties to which it is not yet a party</w:t>
      </w:r>
      <w:r w:rsidR="0065130A" w:rsidRPr="001D0636">
        <w:rPr>
          <w:lang w:val="en-US"/>
        </w:rPr>
        <w:t xml:space="preserve">, namely, </w:t>
      </w:r>
      <w:r w:rsidR="001C7246">
        <w:rPr>
          <w:lang w:val="en-US"/>
        </w:rPr>
        <w:t xml:space="preserve">the International </w:t>
      </w:r>
      <w:r w:rsidR="0065130A" w:rsidRPr="001D0636">
        <w:t xml:space="preserve">Convention on the Protection of the Rights of all Migrant Workers and Members of their Families, 1990, </w:t>
      </w:r>
      <w:r w:rsidR="001C7246">
        <w:t xml:space="preserve">the International </w:t>
      </w:r>
      <w:r w:rsidR="0065130A" w:rsidRPr="001D0636">
        <w:t>Convention on the Rights of Persons with Disabilities</w:t>
      </w:r>
      <w:r w:rsidR="0065130A" w:rsidRPr="001D0636">
        <w:rPr>
          <w:lang w:val="en-US"/>
        </w:rPr>
        <w:t>, 2006 and the</w:t>
      </w:r>
      <w:r w:rsidR="0065130A" w:rsidRPr="001D0636">
        <w:t xml:space="preserve"> International Convention for the Protection of All Persons from Enforced Disappearance</w:t>
      </w:r>
      <w:r w:rsidR="003F687B" w:rsidRPr="001D0636">
        <w:rPr>
          <w:lang w:val="en-US"/>
        </w:rPr>
        <w:t xml:space="preserve"> 2006.</w:t>
      </w:r>
    </w:p>
    <w:p w:rsidR="00D9415B" w:rsidRPr="00082A39" w:rsidRDefault="001D0636" w:rsidP="00E42FBC">
      <w:pPr>
        <w:pStyle w:val="SingleTxtG"/>
        <w:spacing w:line="240" w:lineRule="auto"/>
        <w:rPr>
          <w:lang w:val="en-US"/>
        </w:rPr>
      </w:pPr>
      <w:r w:rsidRPr="00082A39">
        <w:rPr>
          <w:lang w:val="en-US"/>
        </w:rPr>
        <w:t>3</w:t>
      </w:r>
      <w:r w:rsidR="00E42FBC">
        <w:rPr>
          <w:lang w:val="en-US"/>
        </w:rPr>
        <w:t>3</w:t>
      </w:r>
      <w:r w:rsidR="007E158D" w:rsidRPr="00082A39">
        <w:rPr>
          <w:lang w:val="en-US"/>
        </w:rPr>
        <w:t>.</w:t>
      </w:r>
      <w:r w:rsidR="00D9415B" w:rsidRPr="00082A39">
        <w:rPr>
          <w:lang w:val="en-US"/>
        </w:rPr>
        <w:tab/>
        <w:t>The State party is requested to disseminate widely the report submitted to the Committee, summary records and the Committee’s concluding observations, in appropriate languages, through official websites, the media and non-governmental organizations.</w:t>
      </w:r>
    </w:p>
    <w:p w:rsidR="00D9415B" w:rsidRPr="00082A39" w:rsidRDefault="00E82F52" w:rsidP="007F7862">
      <w:pPr>
        <w:pStyle w:val="SingleTxtG"/>
        <w:spacing w:line="240" w:lineRule="auto"/>
        <w:rPr>
          <w:lang w:val="en-US"/>
        </w:rPr>
      </w:pPr>
      <w:r w:rsidRPr="00082A39">
        <w:rPr>
          <w:lang w:val="en-US"/>
        </w:rPr>
        <w:t>3</w:t>
      </w:r>
      <w:r w:rsidR="001D0636" w:rsidRPr="00082A39">
        <w:rPr>
          <w:lang w:val="en-US"/>
        </w:rPr>
        <w:t>3</w:t>
      </w:r>
      <w:r w:rsidR="007E158D" w:rsidRPr="00082A39">
        <w:rPr>
          <w:lang w:val="en-US"/>
        </w:rPr>
        <w:t>.</w:t>
      </w:r>
      <w:r w:rsidR="00D9415B" w:rsidRPr="00082A39">
        <w:rPr>
          <w:lang w:val="en-US"/>
        </w:rPr>
        <w:tab/>
        <w:t xml:space="preserve">The Committee requests the State party to provide, within one year, follow-up information in response to the Committee’s recommendations contained in paragraphs </w:t>
      </w:r>
      <w:r w:rsidR="00802224" w:rsidRPr="00082A39">
        <w:rPr>
          <w:lang w:val="en-US"/>
        </w:rPr>
        <w:t xml:space="preserve">9, </w:t>
      </w:r>
      <w:r w:rsidR="007F7862">
        <w:rPr>
          <w:lang w:val="en-US"/>
        </w:rPr>
        <w:t>21</w:t>
      </w:r>
      <w:r w:rsidR="00486BE5" w:rsidRPr="00082A39">
        <w:rPr>
          <w:lang w:val="en-US"/>
        </w:rPr>
        <w:t>, 2</w:t>
      </w:r>
      <w:r w:rsidR="007F7862">
        <w:rPr>
          <w:lang w:val="en-US"/>
        </w:rPr>
        <w:t>2</w:t>
      </w:r>
      <w:r w:rsidR="00802224" w:rsidRPr="00082A39">
        <w:rPr>
          <w:lang w:val="en-US"/>
        </w:rPr>
        <w:t xml:space="preserve"> </w:t>
      </w:r>
      <w:r w:rsidR="00D9415B" w:rsidRPr="00082A39">
        <w:rPr>
          <w:lang w:val="en-US"/>
        </w:rPr>
        <w:t>and</w:t>
      </w:r>
      <w:r w:rsidR="009E436C" w:rsidRPr="00082A39">
        <w:rPr>
          <w:lang w:val="en-US"/>
        </w:rPr>
        <w:t xml:space="preserve"> </w:t>
      </w:r>
      <w:r w:rsidR="00802224" w:rsidRPr="00082A39">
        <w:rPr>
          <w:lang w:val="en-US"/>
        </w:rPr>
        <w:t>2</w:t>
      </w:r>
      <w:r w:rsidR="007F7862">
        <w:rPr>
          <w:lang w:val="en-US"/>
        </w:rPr>
        <w:t>6</w:t>
      </w:r>
      <w:r w:rsidR="00802224" w:rsidRPr="00082A39">
        <w:rPr>
          <w:lang w:val="en-US"/>
        </w:rPr>
        <w:t xml:space="preserve"> </w:t>
      </w:r>
      <w:r w:rsidR="00AF1DF7" w:rsidRPr="00082A39">
        <w:rPr>
          <w:lang w:val="en-US"/>
        </w:rPr>
        <w:t xml:space="preserve">of </w:t>
      </w:r>
      <w:r w:rsidR="00D9415B" w:rsidRPr="00082A39">
        <w:rPr>
          <w:lang w:val="en-US"/>
        </w:rPr>
        <w:t>the present document.</w:t>
      </w:r>
    </w:p>
    <w:p w:rsidR="001D0636" w:rsidRPr="00082A39" w:rsidRDefault="00CB5278" w:rsidP="00E42FBC">
      <w:pPr>
        <w:pStyle w:val="SingleTxtG"/>
        <w:spacing w:line="240" w:lineRule="auto"/>
        <w:rPr>
          <w:rFonts w:eastAsia="SimSun"/>
          <w:color w:val="000000"/>
          <w:lang w:val="en-US" w:eastAsia="zh-CN"/>
        </w:rPr>
      </w:pPr>
      <w:r w:rsidRPr="00082A39">
        <w:t>3</w:t>
      </w:r>
      <w:r w:rsidR="001D0636" w:rsidRPr="00082A39">
        <w:t>4</w:t>
      </w:r>
      <w:r w:rsidR="00D9415B" w:rsidRPr="00082A39">
        <w:rPr>
          <w:lang w:val="en-US"/>
        </w:rPr>
        <w:t>.</w:t>
      </w:r>
      <w:r w:rsidR="00D9415B" w:rsidRPr="00082A39">
        <w:rPr>
          <w:lang w:val="en-US"/>
        </w:rPr>
        <w:tab/>
      </w:r>
      <w:r w:rsidR="001D0636" w:rsidRPr="00082A39">
        <w:rPr>
          <w:rFonts w:eastAsia="SimSun"/>
          <w:color w:val="000000"/>
          <w:lang w:val="en-US" w:eastAsia="zh-CN"/>
        </w:rPr>
        <w:t>The Committee invites the State party to present its next treaty-specific report within the limit of 40 pages. The Committee also invites the State party to update its common core document (HRI/CORE/1/Add.59/Rev.2) in accordance with the requirements of the Common Core Document contained in the Harmonized Guidelines on reporting under the international human rights treaties (HRI/GEN.2/Rev.6), approved by the Inter-Committee meeting of the human rights treaty bodies, and to observe the page limit of 80 pages for the common core document. The treaty-specific document and the common core document together constitute the reporting obligation of the State party under the Convention.</w:t>
      </w:r>
    </w:p>
    <w:p w:rsidR="00425D0F" w:rsidRPr="00DF2C8A" w:rsidRDefault="00E82F52" w:rsidP="007C53E6">
      <w:pPr>
        <w:pStyle w:val="SingleTxtG"/>
        <w:spacing w:line="240" w:lineRule="auto"/>
        <w:rPr>
          <w:bCs/>
          <w:lang w:val="en-US"/>
        </w:rPr>
      </w:pPr>
      <w:r w:rsidRPr="00082A39">
        <w:rPr>
          <w:lang w:val="en-US"/>
        </w:rPr>
        <w:t>3</w:t>
      </w:r>
      <w:r w:rsidR="001D0636" w:rsidRPr="00082A39">
        <w:rPr>
          <w:lang w:val="en-US"/>
        </w:rPr>
        <w:t>5</w:t>
      </w:r>
      <w:r w:rsidR="007E158D" w:rsidRPr="00082A39">
        <w:rPr>
          <w:lang w:val="en-US"/>
        </w:rPr>
        <w:t>.</w:t>
      </w:r>
      <w:r w:rsidR="00D9415B" w:rsidRPr="00082A39">
        <w:rPr>
          <w:lang w:val="en-US"/>
        </w:rPr>
        <w:tab/>
        <w:t xml:space="preserve">The State party is invited to submit its </w:t>
      </w:r>
      <w:r w:rsidR="00130D6E" w:rsidRPr="00082A39">
        <w:rPr>
          <w:lang w:val="en-US"/>
        </w:rPr>
        <w:t>next</w:t>
      </w:r>
      <w:r w:rsidR="00D9415B" w:rsidRPr="00082A39">
        <w:rPr>
          <w:lang w:val="en-US"/>
        </w:rPr>
        <w:t xml:space="preserve"> report</w:t>
      </w:r>
      <w:r w:rsidR="007C53E6">
        <w:rPr>
          <w:lang w:val="en-US"/>
        </w:rPr>
        <w:t>,</w:t>
      </w:r>
      <w:r w:rsidR="00130D6E" w:rsidRPr="00082A39">
        <w:rPr>
          <w:lang w:val="en-US"/>
        </w:rPr>
        <w:t xml:space="preserve"> which will be </w:t>
      </w:r>
      <w:r w:rsidR="00DF2C8A">
        <w:rPr>
          <w:lang w:val="en-US"/>
        </w:rPr>
        <w:t>the second periodic</w:t>
      </w:r>
      <w:r w:rsidR="007C53E6" w:rsidRPr="00DF2C8A">
        <w:rPr>
          <w:lang w:val="en-US"/>
        </w:rPr>
        <w:t>, by</w:t>
      </w:r>
      <w:r w:rsidR="00D9415B" w:rsidRPr="00DF2C8A">
        <w:rPr>
          <w:lang w:val="en-US"/>
        </w:rPr>
        <w:t xml:space="preserve"> </w:t>
      </w:r>
      <w:r w:rsidR="00D9415B" w:rsidRPr="00DF2C8A">
        <w:rPr>
          <w:bCs/>
          <w:lang w:val="en-US"/>
        </w:rPr>
        <w:t>3 June 2015</w:t>
      </w:r>
      <w:r w:rsidR="00D9415B" w:rsidRPr="00DF2C8A">
        <w:rPr>
          <w:lang w:val="en-US"/>
        </w:rPr>
        <w:t>.</w:t>
      </w:r>
    </w:p>
    <w:p w:rsidR="00236865" w:rsidRPr="001B5460" w:rsidRDefault="00236865" w:rsidP="00236865">
      <w:pPr>
        <w:jc w:val="center"/>
        <w:rPr>
          <w:sz w:val="22"/>
          <w:szCs w:val="22"/>
        </w:rPr>
      </w:pPr>
      <w:r w:rsidRPr="001B5460">
        <w:rPr>
          <w:sz w:val="22"/>
          <w:szCs w:val="22"/>
        </w:rPr>
        <w:t>__________________</w:t>
      </w:r>
    </w:p>
    <w:sectPr w:rsidR="00236865" w:rsidRPr="001B5460" w:rsidSect="007517F7">
      <w:headerReference w:type="default" r:id="rId8"/>
      <w:footerReference w:type="even" r:id="rId9"/>
      <w:footerReference w:type="default" r:id="rId10"/>
      <w:footerReference w:type="first" r:id="rId11"/>
      <w:endnotePr>
        <w:numFmt w:val="decimal"/>
      </w:endnotePr>
      <w:pgSz w:w="11907" w:h="16840" w:code="9"/>
      <w:pgMar w:top="1701" w:right="1007" w:bottom="1260" w:left="1134" w:header="1134" w:footer="170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23B" w:rsidRDefault="00BE423B"/>
  </w:endnote>
  <w:endnote w:type="continuationSeparator" w:id="0">
    <w:p w:rsidR="00BE423B" w:rsidRDefault="00BE423B"/>
  </w:endnote>
  <w:endnote w:type="continuationNotice" w:id="1">
    <w:p w:rsidR="00BE423B" w:rsidRDefault="00BE423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FF" w:rsidRPr="00236865" w:rsidRDefault="005508FF" w:rsidP="00236865">
    <w:pPr>
      <w:pStyle w:val="Footer"/>
      <w:tabs>
        <w:tab w:val="right" w:pos="9638"/>
      </w:tabs>
    </w:pPr>
    <w:r w:rsidRPr="00236865">
      <w:rPr>
        <w:b/>
        <w:sz w:val="18"/>
      </w:rPr>
      <w:fldChar w:fldCharType="begin"/>
    </w:r>
    <w:r w:rsidRPr="00236865">
      <w:rPr>
        <w:b/>
        <w:sz w:val="18"/>
      </w:rPr>
      <w:instrText xml:space="preserve"> PAGE  \* MERGEFORMAT </w:instrText>
    </w:r>
    <w:r w:rsidRPr="00236865">
      <w:rPr>
        <w:b/>
        <w:sz w:val="18"/>
      </w:rPr>
      <w:fldChar w:fldCharType="separate"/>
    </w:r>
    <w:r w:rsidR="00180781">
      <w:rPr>
        <w:b/>
        <w:noProof/>
        <w:sz w:val="18"/>
      </w:rPr>
      <w:t>10</w:t>
    </w:r>
    <w:r w:rsidRPr="00236865">
      <w:rPr>
        <w:b/>
        <w:sz w:val="18"/>
      </w:rPr>
      <w:fldChar w:fldCharType="end"/>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FF" w:rsidRPr="00236865" w:rsidRDefault="005508FF" w:rsidP="00236865">
    <w:pPr>
      <w:pStyle w:val="Footer"/>
      <w:tabs>
        <w:tab w:val="right" w:pos="9638"/>
      </w:tabs>
      <w:rPr>
        <w:b/>
        <w:sz w:val="18"/>
      </w:rPr>
    </w:pPr>
    <w:r>
      <w:rPr>
        <w:sz w:val="20"/>
      </w:rPr>
      <w:tab/>
    </w:r>
    <w:r w:rsidRPr="00236865">
      <w:rPr>
        <w:b/>
        <w:sz w:val="18"/>
      </w:rPr>
      <w:fldChar w:fldCharType="begin"/>
    </w:r>
    <w:r w:rsidRPr="00236865">
      <w:rPr>
        <w:b/>
        <w:sz w:val="18"/>
      </w:rPr>
      <w:instrText xml:space="preserve"> PAGE  \* MERGEFORMAT </w:instrText>
    </w:r>
    <w:r w:rsidRPr="00236865">
      <w:rPr>
        <w:b/>
        <w:sz w:val="18"/>
      </w:rPr>
      <w:fldChar w:fldCharType="separate"/>
    </w:r>
    <w:r w:rsidR="00180781">
      <w:rPr>
        <w:b/>
        <w:noProof/>
        <w:sz w:val="18"/>
      </w:rPr>
      <w:t>9</w:t>
    </w:r>
    <w:r w:rsidRPr="00236865">
      <w:rPr>
        <w:b/>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FF" w:rsidRDefault="005508FF">
    <w:pPr>
      <w:pStyle w:val="Foote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5.4pt;margin-top:-9.05pt;width:73.25pt;height:18.15pt;z-index:251657728">
          <v:imagedata r:id="rId1" o:title="recycle_English"/>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23B" w:rsidRPr="000B175B" w:rsidRDefault="00BE423B" w:rsidP="000B175B">
      <w:pPr>
        <w:tabs>
          <w:tab w:val="right" w:pos="2155"/>
        </w:tabs>
        <w:spacing w:after="80"/>
        <w:ind w:left="680"/>
        <w:rPr>
          <w:u w:val="single"/>
        </w:rPr>
      </w:pPr>
      <w:r>
        <w:rPr>
          <w:u w:val="single"/>
        </w:rPr>
        <w:tab/>
      </w:r>
    </w:p>
  </w:footnote>
  <w:footnote w:type="continuationSeparator" w:id="0">
    <w:p w:rsidR="00BE423B" w:rsidRPr="00FC68B7" w:rsidRDefault="00BE423B" w:rsidP="00FC68B7">
      <w:pPr>
        <w:tabs>
          <w:tab w:val="left" w:pos="2155"/>
        </w:tabs>
        <w:spacing w:after="80"/>
        <w:ind w:left="680"/>
        <w:rPr>
          <w:u w:val="single"/>
        </w:rPr>
      </w:pPr>
      <w:r>
        <w:rPr>
          <w:u w:val="single"/>
        </w:rPr>
        <w:tab/>
      </w:r>
    </w:p>
  </w:footnote>
  <w:footnote w:type="continuationNotice" w:id="1">
    <w:p w:rsidR="00BE423B" w:rsidRDefault="00BE423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FF" w:rsidRPr="0068714E" w:rsidRDefault="005508FF" w:rsidP="00F2605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1D7923"/>
    <w:multiLevelType w:val="hybridMultilevel"/>
    <w:tmpl w:val="73BC86E6"/>
    <w:lvl w:ilvl="0" w:tplc="D6A8748A">
      <w:start w:val="1"/>
      <w:numFmt w:val="low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
    <w:nsid w:val="0A66202F"/>
    <w:multiLevelType w:val="hybridMultilevel"/>
    <w:tmpl w:val="020609CA"/>
    <w:lvl w:ilvl="0" w:tplc="AC6059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9F7DBF"/>
    <w:multiLevelType w:val="hybridMultilevel"/>
    <w:tmpl w:val="289411D0"/>
    <w:lvl w:ilvl="0" w:tplc="FE1405C2">
      <w:start w:val="1"/>
      <w:numFmt w:val="lowerLetter"/>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4678EB"/>
    <w:multiLevelType w:val="hybridMultilevel"/>
    <w:tmpl w:val="A2E6034C"/>
    <w:lvl w:ilvl="0" w:tplc="0A607A20">
      <w:start w:val="1"/>
      <w:numFmt w:val="lowerLetter"/>
      <w:lvlText w:val="%1)"/>
      <w:lvlJc w:val="left"/>
      <w:pPr>
        <w:tabs>
          <w:tab w:val="num" w:pos="1351"/>
        </w:tabs>
        <w:ind w:left="1351" w:hanging="675"/>
      </w:pPr>
      <w:rPr>
        <w:rFonts w:hint="default"/>
      </w:rPr>
    </w:lvl>
    <w:lvl w:ilvl="1" w:tplc="04090019" w:tentative="1">
      <w:start w:val="1"/>
      <w:numFmt w:val="lowerLetter"/>
      <w:lvlText w:val="%2."/>
      <w:lvlJc w:val="left"/>
      <w:pPr>
        <w:tabs>
          <w:tab w:val="num" w:pos="1756"/>
        </w:tabs>
        <w:ind w:left="1756" w:hanging="360"/>
      </w:pPr>
    </w:lvl>
    <w:lvl w:ilvl="2" w:tplc="0409001B" w:tentative="1">
      <w:start w:val="1"/>
      <w:numFmt w:val="lowerRoman"/>
      <w:lvlText w:val="%3."/>
      <w:lvlJc w:val="right"/>
      <w:pPr>
        <w:tabs>
          <w:tab w:val="num" w:pos="2476"/>
        </w:tabs>
        <w:ind w:left="2476" w:hanging="180"/>
      </w:pPr>
    </w:lvl>
    <w:lvl w:ilvl="3" w:tplc="0409000F" w:tentative="1">
      <w:start w:val="1"/>
      <w:numFmt w:val="decimal"/>
      <w:lvlText w:val="%4."/>
      <w:lvlJc w:val="left"/>
      <w:pPr>
        <w:tabs>
          <w:tab w:val="num" w:pos="3196"/>
        </w:tabs>
        <w:ind w:left="3196" w:hanging="360"/>
      </w:pPr>
    </w:lvl>
    <w:lvl w:ilvl="4" w:tplc="04090019" w:tentative="1">
      <w:start w:val="1"/>
      <w:numFmt w:val="lowerLetter"/>
      <w:lvlText w:val="%5."/>
      <w:lvlJc w:val="left"/>
      <w:pPr>
        <w:tabs>
          <w:tab w:val="num" w:pos="3916"/>
        </w:tabs>
        <w:ind w:left="3916" w:hanging="360"/>
      </w:pPr>
    </w:lvl>
    <w:lvl w:ilvl="5" w:tplc="0409001B" w:tentative="1">
      <w:start w:val="1"/>
      <w:numFmt w:val="lowerRoman"/>
      <w:lvlText w:val="%6."/>
      <w:lvlJc w:val="right"/>
      <w:pPr>
        <w:tabs>
          <w:tab w:val="num" w:pos="4636"/>
        </w:tabs>
        <w:ind w:left="4636" w:hanging="180"/>
      </w:pPr>
    </w:lvl>
    <w:lvl w:ilvl="6" w:tplc="0409000F" w:tentative="1">
      <w:start w:val="1"/>
      <w:numFmt w:val="decimal"/>
      <w:lvlText w:val="%7."/>
      <w:lvlJc w:val="left"/>
      <w:pPr>
        <w:tabs>
          <w:tab w:val="num" w:pos="5356"/>
        </w:tabs>
        <w:ind w:left="5356" w:hanging="360"/>
      </w:pPr>
    </w:lvl>
    <w:lvl w:ilvl="7" w:tplc="04090019" w:tentative="1">
      <w:start w:val="1"/>
      <w:numFmt w:val="lowerLetter"/>
      <w:lvlText w:val="%8."/>
      <w:lvlJc w:val="left"/>
      <w:pPr>
        <w:tabs>
          <w:tab w:val="num" w:pos="6076"/>
        </w:tabs>
        <w:ind w:left="6076" w:hanging="360"/>
      </w:pPr>
    </w:lvl>
    <w:lvl w:ilvl="8" w:tplc="0409001B" w:tentative="1">
      <w:start w:val="1"/>
      <w:numFmt w:val="lowerRoman"/>
      <w:lvlText w:val="%9."/>
      <w:lvlJc w:val="right"/>
      <w:pPr>
        <w:tabs>
          <w:tab w:val="num" w:pos="6796"/>
        </w:tabs>
        <w:ind w:left="6796" w:hanging="180"/>
      </w:pPr>
    </w:lvl>
  </w:abstractNum>
  <w:abstractNum w:abstractNumId="5">
    <w:nsid w:val="27691491"/>
    <w:multiLevelType w:val="hybridMultilevel"/>
    <w:tmpl w:val="B45232EA"/>
    <w:lvl w:ilvl="0" w:tplc="0409000F">
      <w:start w:val="15"/>
      <w:numFmt w:val="decimal"/>
      <w:lvlText w:val="%1."/>
      <w:lvlJc w:val="left"/>
      <w:pPr>
        <w:tabs>
          <w:tab w:val="num" w:pos="720"/>
        </w:tabs>
        <w:ind w:left="720" w:hanging="360"/>
      </w:pPr>
      <w:rPr>
        <w:rFonts w:eastAsia="Times New Roman" w:hint="default"/>
      </w:rPr>
    </w:lvl>
    <w:lvl w:ilvl="1" w:tplc="405C6370">
      <w:start w:val="1"/>
      <w:numFmt w:val="decimal"/>
      <w:pStyle w:val="ParaNo"/>
      <w:lvlText w:val="%2."/>
      <w:lvlJc w:val="left"/>
      <w:pPr>
        <w:tabs>
          <w:tab w:val="num" w:pos="1440"/>
        </w:tabs>
        <w:ind w:left="1079" w:firstLine="1"/>
      </w:pPr>
      <w:rPr>
        <w:rFonts w:hint="default"/>
        <w:b w:val="0"/>
        <w:bCs w:val="0"/>
        <w:i w:val="0"/>
        <w:iCs/>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45165"/>
    <w:multiLevelType w:val="hybridMultilevel"/>
    <w:tmpl w:val="07DA9B20"/>
    <w:lvl w:ilvl="0" w:tplc="19E84BC4">
      <w:start w:val="15"/>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nsid w:val="3C721579"/>
    <w:multiLevelType w:val="hybridMultilevel"/>
    <w:tmpl w:val="ADE81648"/>
    <w:lvl w:ilvl="0" w:tplc="447A63B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06E01D8"/>
    <w:multiLevelType w:val="hybridMultilevel"/>
    <w:tmpl w:val="86D65C46"/>
    <w:lvl w:ilvl="0" w:tplc="BDFE411E">
      <w:start w:val="1"/>
      <w:numFmt w:val="lowerLetter"/>
      <w:lvlText w:val="%1)"/>
      <w:lvlJc w:val="left"/>
      <w:pPr>
        <w:tabs>
          <w:tab w:val="num" w:pos="2511"/>
        </w:tabs>
        <w:ind w:left="2511" w:hanging="81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9">
    <w:nsid w:val="4C6A4658"/>
    <w:multiLevelType w:val="hybridMultilevel"/>
    <w:tmpl w:val="1996DB78"/>
    <w:lvl w:ilvl="0" w:tplc="7C2C3C70">
      <w:start w:val="1"/>
      <w:numFmt w:val="lowerLetter"/>
      <w:lvlText w:val="(%1)"/>
      <w:lvlJc w:val="left"/>
      <w:pPr>
        <w:tabs>
          <w:tab w:val="num" w:pos="890"/>
        </w:tabs>
        <w:ind w:left="890" w:hanging="72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0">
    <w:nsid w:val="506E4978"/>
    <w:multiLevelType w:val="hybridMultilevel"/>
    <w:tmpl w:val="09F67B26"/>
    <w:lvl w:ilvl="0" w:tplc="DEA2889A">
      <w:start w:val="3"/>
      <w:numFmt w:val="decimal"/>
      <w:lvlText w:val="%1."/>
      <w:lvlJc w:val="left"/>
      <w:pPr>
        <w:tabs>
          <w:tab w:val="num" w:pos="1655"/>
        </w:tabs>
        <w:ind w:left="1655" w:hanging="555"/>
      </w:pPr>
      <w:rPr>
        <w:rFonts w:hint="default"/>
      </w:rPr>
    </w:lvl>
    <w:lvl w:ilvl="1" w:tplc="BC9E9BC0">
      <w:start w:val="1"/>
      <w:numFmt w:val="lowerLetter"/>
      <w:lvlText w:val="(%2)"/>
      <w:lvlJc w:val="left"/>
      <w:pPr>
        <w:tabs>
          <w:tab w:val="num" w:pos="2424"/>
        </w:tabs>
        <w:ind w:left="2424" w:hanging="570"/>
      </w:pPr>
      <w:rPr>
        <w:rFonts w:hint="default"/>
      </w:r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1">
    <w:nsid w:val="681A6CBD"/>
    <w:multiLevelType w:val="hybridMultilevel"/>
    <w:tmpl w:val="78D62384"/>
    <w:lvl w:ilvl="0" w:tplc="C9DEE87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F1B7A4B"/>
    <w:multiLevelType w:val="hybridMultilevel"/>
    <w:tmpl w:val="AFFA8C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5"/>
  </w:num>
  <w:num w:numId="4">
    <w:abstractNumId w:val="9"/>
  </w:num>
  <w:num w:numId="5">
    <w:abstractNumId w:val="10"/>
  </w:num>
  <w:num w:numId="6">
    <w:abstractNumId w:val="6"/>
  </w:num>
  <w:num w:numId="7">
    <w:abstractNumId w:val="7"/>
  </w:num>
  <w:num w:numId="8">
    <w:abstractNumId w:val="3"/>
  </w:num>
  <w:num w:numId="9">
    <w:abstractNumId w:val="4"/>
  </w:num>
  <w:num w:numId="10">
    <w:abstractNumId w:val="11"/>
  </w:num>
  <w:num w:numId="11">
    <w:abstractNumId w:val="2"/>
  </w:num>
  <w:num w:numId="12">
    <w:abstractNumId w:val="13"/>
  </w:num>
  <w:num w:numId="13">
    <w:abstractNumId w:val="8"/>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001"/>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33FE"/>
    <w:rsid w:val="00000A05"/>
    <w:rsid w:val="0000280C"/>
    <w:rsid w:val="000031BE"/>
    <w:rsid w:val="00011523"/>
    <w:rsid w:val="00011F17"/>
    <w:rsid w:val="00015296"/>
    <w:rsid w:val="0001712F"/>
    <w:rsid w:val="000301F6"/>
    <w:rsid w:val="00032FF2"/>
    <w:rsid w:val="0003401C"/>
    <w:rsid w:val="000354B2"/>
    <w:rsid w:val="00036ABC"/>
    <w:rsid w:val="000376A1"/>
    <w:rsid w:val="0004215F"/>
    <w:rsid w:val="00050F6B"/>
    <w:rsid w:val="000551DC"/>
    <w:rsid w:val="00065B3F"/>
    <w:rsid w:val="000703DA"/>
    <w:rsid w:val="000707B4"/>
    <w:rsid w:val="00072C8C"/>
    <w:rsid w:val="000733B5"/>
    <w:rsid w:val="00077485"/>
    <w:rsid w:val="000810F5"/>
    <w:rsid w:val="00082A39"/>
    <w:rsid w:val="00092972"/>
    <w:rsid w:val="000931C0"/>
    <w:rsid w:val="000953C8"/>
    <w:rsid w:val="00096E5E"/>
    <w:rsid w:val="000A3555"/>
    <w:rsid w:val="000A5D3B"/>
    <w:rsid w:val="000B0836"/>
    <w:rsid w:val="000B175B"/>
    <w:rsid w:val="000B3A0F"/>
    <w:rsid w:val="000B4EF7"/>
    <w:rsid w:val="000B5323"/>
    <w:rsid w:val="000B7B89"/>
    <w:rsid w:val="000C1462"/>
    <w:rsid w:val="000C2D2E"/>
    <w:rsid w:val="000C31E7"/>
    <w:rsid w:val="000C34EB"/>
    <w:rsid w:val="000C3A70"/>
    <w:rsid w:val="000D2A51"/>
    <w:rsid w:val="000D59CF"/>
    <w:rsid w:val="000E02B9"/>
    <w:rsid w:val="000E0397"/>
    <w:rsid w:val="000E0415"/>
    <w:rsid w:val="000E04FE"/>
    <w:rsid w:val="000E4EEB"/>
    <w:rsid w:val="000E5132"/>
    <w:rsid w:val="000E5D5C"/>
    <w:rsid w:val="000F0DA8"/>
    <w:rsid w:val="000F1AC7"/>
    <w:rsid w:val="001030FA"/>
    <w:rsid w:val="00104007"/>
    <w:rsid w:val="001047C4"/>
    <w:rsid w:val="001103AA"/>
    <w:rsid w:val="00121682"/>
    <w:rsid w:val="001234AD"/>
    <w:rsid w:val="0012442A"/>
    <w:rsid w:val="00130C26"/>
    <w:rsid w:val="00130D6E"/>
    <w:rsid w:val="001316BB"/>
    <w:rsid w:val="0013616B"/>
    <w:rsid w:val="00137A20"/>
    <w:rsid w:val="00140DDF"/>
    <w:rsid w:val="00141F78"/>
    <w:rsid w:val="0014273B"/>
    <w:rsid w:val="00144A76"/>
    <w:rsid w:val="001474B6"/>
    <w:rsid w:val="001477D5"/>
    <w:rsid w:val="00152E5B"/>
    <w:rsid w:val="00155467"/>
    <w:rsid w:val="0016475D"/>
    <w:rsid w:val="001800E7"/>
    <w:rsid w:val="00180781"/>
    <w:rsid w:val="00180D95"/>
    <w:rsid w:val="00181ED2"/>
    <w:rsid w:val="001834A0"/>
    <w:rsid w:val="00184CD1"/>
    <w:rsid w:val="0018711F"/>
    <w:rsid w:val="001948CF"/>
    <w:rsid w:val="00195B74"/>
    <w:rsid w:val="001A765B"/>
    <w:rsid w:val="001A7E43"/>
    <w:rsid w:val="001B2D74"/>
    <w:rsid w:val="001B4B04"/>
    <w:rsid w:val="001B4BC1"/>
    <w:rsid w:val="001B5062"/>
    <w:rsid w:val="001B5460"/>
    <w:rsid w:val="001B65F6"/>
    <w:rsid w:val="001C23F0"/>
    <w:rsid w:val="001C5ECE"/>
    <w:rsid w:val="001C6663"/>
    <w:rsid w:val="001C7246"/>
    <w:rsid w:val="001C7895"/>
    <w:rsid w:val="001D0636"/>
    <w:rsid w:val="001D0A09"/>
    <w:rsid w:val="001D2599"/>
    <w:rsid w:val="001D26DF"/>
    <w:rsid w:val="001D447A"/>
    <w:rsid w:val="001E1117"/>
    <w:rsid w:val="001E1A3B"/>
    <w:rsid w:val="001E35F9"/>
    <w:rsid w:val="001E35FF"/>
    <w:rsid w:val="001E5AA0"/>
    <w:rsid w:val="00202DA8"/>
    <w:rsid w:val="00210BD9"/>
    <w:rsid w:val="00211E0B"/>
    <w:rsid w:val="00214025"/>
    <w:rsid w:val="00216D52"/>
    <w:rsid w:val="00224EB0"/>
    <w:rsid w:val="00225428"/>
    <w:rsid w:val="00226E6C"/>
    <w:rsid w:val="002301EF"/>
    <w:rsid w:val="002328BA"/>
    <w:rsid w:val="0023653D"/>
    <w:rsid w:val="00236865"/>
    <w:rsid w:val="002407D2"/>
    <w:rsid w:val="00245D25"/>
    <w:rsid w:val="00252BC1"/>
    <w:rsid w:val="002568D1"/>
    <w:rsid w:val="00260DA4"/>
    <w:rsid w:val="00261B5A"/>
    <w:rsid w:val="00263A68"/>
    <w:rsid w:val="002716E0"/>
    <w:rsid w:val="0027305F"/>
    <w:rsid w:val="002837C9"/>
    <w:rsid w:val="00283BA6"/>
    <w:rsid w:val="00287B5A"/>
    <w:rsid w:val="002900B1"/>
    <w:rsid w:val="00294853"/>
    <w:rsid w:val="002A229D"/>
    <w:rsid w:val="002A3EAA"/>
    <w:rsid w:val="002A4364"/>
    <w:rsid w:val="002A4A85"/>
    <w:rsid w:val="002A5479"/>
    <w:rsid w:val="002B0464"/>
    <w:rsid w:val="002C28B0"/>
    <w:rsid w:val="002C39B7"/>
    <w:rsid w:val="002C3C14"/>
    <w:rsid w:val="002C5A3C"/>
    <w:rsid w:val="002D0A90"/>
    <w:rsid w:val="002E190D"/>
    <w:rsid w:val="002E4989"/>
    <w:rsid w:val="002E5B29"/>
    <w:rsid w:val="002F175C"/>
    <w:rsid w:val="003005E1"/>
    <w:rsid w:val="003058E5"/>
    <w:rsid w:val="00310DA9"/>
    <w:rsid w:val="00315FBD"/>
    <w:rsid w:val="00316B1C"/>
    <w:rsid w:val="00316CDC"/>
    <w:rsid w:val="003172AB"/>
    <w:rsid w:val="003229D8"/>
    <w:rsid w:val="00325E4D"/>
    <w:rsid w:val="003305AB"/>
    <w:rsid w:val="00330E06"/>
    <w:rsid w:val="00332C6C"/>
    <w:rsid w:val="00336FC5"/>
    <w:rsid w:val="00345559"/>
    <w:rsid w:val="00352709"/>
    <w:rsid w:val="00354B5B"/>
    <w:rsid w:val="00355ECB"/>
    <w:rsid w:val="00366BC4"/>
    <w:rsid w:val="00367498"/>
    <w:rsid w:val="00367C38"/>
    <w:rsid w:val="00371178"/>
    <w:rsid w:val="003729D8"/>
    <w:rsid w:val="00375295"/>
    <w:rsid w:val="00377752"/>
    <w:rsid w:val="00385CC4"/>
    <w:rsid w:val="00390AB2"/>
    <w:rsid w:val="003920B5"/>
    <w:rsid w:val="003926BE"/>
    <w:rsid w:val="0039725C"/>
    <w:rsid w:val="003A1BC1"/>
    <w:rsid w:val="003A2F09"/>
    <w:rsid w:val="003A4810"/>
    <w:rsid w:val="003A6810"/>
    <w:rsid w:val="003A75FD"/>
    <w:rsid w:val="003A7C25"/>
    <w:rsid w:val="003B4E47"/>
    <w:rsid w:val="003B5184"/>
    <w:rsid w:val="003C039D"/>
    <w:rsid w:val="003C0672"/>
    <w:rsid w:val="003C0AA7"/>
    <w:rsid w:val="003C2CC4"/>
    <w:rsid w:val="003C6126"/>
    <w:rsid w:val="003D4B23"/>
    <w:rsid w:val="003E1F20"/>
    <w:rsid w:val="003E6B02"/>
    <w:rsid w:val="003E790B"/>
    <w:rsid w:val="003F687B"/>
    <w:rsid w:val="004006E4"/>
    <w:rsid w:val="0040143B"/>
    <w:rsid w:val="004023DE"/>
    <w:rsid w:val="00404773"/>
    <w:rsid w:val="00405DDC"/>
    <w:rsid w:val="004069CE"/>
    <w:rsid w:val="004077E2"/>
    <w:rsid w:val="00410C89"/>
    <w:rsid w:val="00411B64"/>
    <w:rsid w:val="0041309D"/>
    <w:rsid w:val="00415D00"/>
    <w:rsid w:val="00416178"/>
    <w:rsid w:val="00421380"/>
    <w:rsid w:val="0042368C"/>
    <w:rsid w:val="00425D0F"/>
    <w:rsid w:val="004325CB"/>
    <w:rsid w:val="00435232"/>
    <w:rsid w:val="004360F5"/>
    <w:rsid w:val="00436852"/>
    <w:rsid w:val="00437A97"/>
    <w:rsid w:val="00445E3A"/>
    <w:rsid w:val="0045495B"/>
    <w:rsid w:val="004656E8"/>
    <w:rsid w:val="00474DCF"/>
    <w:rsid w:val="00474E31"/>
    <w:rsid w:val="004760C1"/>
    <w:rsid w:val="004769D5"/>
    <w:rsid w:val="004776D5"/>
    <w:rsid w:val="00481B50"/>
    <w:rsid w:val="0048230B"/>
    <w:rsid w:val="004844C7"/>
    <w:rsid w:val="00486BE5"/>
    <w:rsid w:val="00491878"/>
    <w:rsid w:val="004A0044"/>
    <w:rsid w:val="004A7C71"/>
    <w:rsid w:val="004B0232"/>
    <w:rsid w:val="004B10C0"/>
    <w:rsid w:val="004B18DA"/>
    <w:rsid w:val="004B245B"/>
    <w:rsid w:val="004B432E"/>
    <w:rsid w:val="004D0935"/>
    <w:rsid w:val="004D1E82"/>
    <w:rsid w:val="004D25E4"/>
    <w:rsid w:val="004D469C"/>
    <w:rsid w:val="004D5872"/>
    <w:rsid w:val="004E2C8A"/>
    <w:rsid w:val="00500009"/>
    <w:rsid w:val="00501DA7"/>
    <w:rsid w:val="00505459"/>
    <w:rsid w:val="00511AB1"/>
    <w:rsid w:val="00515E26"/>
    <w:rsid w:val="00516FCD"/>
    <w:rsid w:val="00517B36"/>
    <w:rsid w:val="005207E6"/>
    <w:rsid w:val="00520B03"/>
    <w:rsid w:val="00523650"/>
    <w:rsid w:val="005251B5"/>
    <w:rsid w:val="00525FA1"/>
    <w:rsid w:val="0053604D"/>
    <w:rsid w:val="005420F2"/>
    <w:rsid w:val="00542C71"/>
    <w:rsid w:val="00545A71"/>
    <w:rsid w:val="005508FF"/>
    <w:rsid w:val="00562A6E"/>
    <w:rsid w:val="00562DC6"/>
    <w:rsid w:val="005719F6"/>
    <w:rsid w:val="00575F8F"/>
    <w:rsid w:val="00576D0C"/>
    <w:rsid w:val="00584308"/>
    <w:rsid w:val="00584E54"/>
    <w:rsid w:val="005858F3"/>
    <w:rsid w:val="0059604C"/>
    <w:rsid w:val="005A0FF6"/>
    <w:rsid w:val="005A1FAC"/>
    <w:rsid w:val="005A2968"/>
    <w:rsid w:val="005A4BB2"/>
    <w:rsid w:val="005B3DB3"/>
    <w:rsid w:val="005C14BC"/>
    <w:rsid w:val="005C664A"/>
    <w:rsid w:val="005C6A79"/>
    <w:rsid w:val="005D073C"/>
    <w:rsid w:val="005D4AD6"/>
    <w:rsid w:val="005E4780"/>
    <w:rsid w:val="005E4B30"/>
    <w:rsid w:val="005E603B"/>
    <w:rsid w:val="005F1F3D"/>
    <w:rsid w:val="005F6F63"/>
    <w:rsid w:val="006001EE"/>
    <w:rsid w:val="00600D5B"/>
    <w:rsid w:val="0060386F"/>
    <w:rsid w:val="00604B49"/>
    <w:rsid w:val="00610F45"/>
    <w:rsid w:val="00611FC4"/>
    <w:rsid w:val="006176FB"/>
    <w:rsid w:val="00624185"/>
    <w:rsid w:val="00635BDE"/>
    <w:rsid w:val="00637D25"/>
    <w:rsid w:val="00640B26"/>
    <w:rsid w:val="00641355"/>
    <w:rsid w:val="006413A3"/>
    <w:rsid w:val="00647C48"/>
    <w:rsid w:val="0065130A"/>
    <w:rsid w:val="0065454B"/>
    <w:rsid w:val="00654ADB"/>
    <w:rsid w:val="0065616F"/>
    <w:rsid w:val="006566E7"/>
    <w:rsid w:val="00667A17"/>
    <w:rsid w:val="00670914"/>
    <w:rsid w:val="00673351"/>
    <w:rsid w:val="00673F4B"/>
    <w:rsid w:val="0068118B"/>
    <w:rsid w:val="006814C2"/>
    <w:rsid w:val="00681DB4"/>
    <w:rsid w:val="00682A9B"/>
    <w:rsid w:val="00684476"/>
    <w:rsid w:val="006858BA"/>
    <w:rsid w:val="006860A6"/>
    <w:rsid w:val="0068714E"/>
    <w:rsid w:val="00690098"/>
    <w:rsid w:val="006A10E7"/>
    <w:rsid w:val="006A7EA2"/>
    <w:rsid w:val="006B0D13"/>
    <w:rsid w:val="006C133D"/>
    <w:rsid w:val="006C1D5D"/>
    <w:rsid w:val="006C3A64"/>
    <w:rsid w:val="006C4CAC"/>
    <w:rsid w:val="006C6FA0"/>
    <w:rsid w:val="006C7457"/>
    <w:rsid w:val="006D4988"/>
    <w:rsid w:val="006E0BE3"/>
    <w:rsid w:val="006E1876"/>
    <w:rsid w:val="006E30FF"/>
    <w:rsid w:val="006E376E"/>
    <w:rsid w:val="006E39E2"/>
    <w:rsid w:val="006E4142"/>
    <w:rsid w:val="006E564B"/>
    <w:rsid w:val="006E5988"/>
    <w:rsid w:val="006F03F1"/>
    <w:rsid w:val="006F79E8"/>
    <w:rsid w:val="0070023C"/>
    <w:rsid w:val="0071604A"/>
    <w:rsid w:val="0072632A"/>
    <w:rsid w:val="00726BD5"/>
    <w:rsid w:val="00726F2F"/>
    <w:rsid w:val="0073317C"/>
    <w:rsid w:val="00733E76"/>
    <w:rsid w:val="0073515F"/>
    <w:rsid w:val="00736391"/>
    <w:rsid w:val="00736D96"/>
    <w:rsid w:val="007429B1"/>
    <w:rsid w:val="007449BF"/>
    <w:rsid w:val="00745FE1"/>
    <w:rsid w:val="00750AFB"/>
    <w:rsid w:val="007517F7"/>
    <w:rsid w:val="00752B93"/>
    <w:rsid w:val="0075539A"/>
    <w:rsid w:val="00757FBF"/>
    <w:rsid w:val="00762B58"/>
    <w:rsid w:val="00764D79"/>
    <w:rsid w:val="00770901"/>
    <w:rsid w:val="00774C0E"/>
    <w:rsid w:val="00777C61"/>
    <w:rsid w:val="00782A1D"/>
    <w:rsid w:val="00785398"/>
    <w:rsid w:val="007913AD"/>
    <w:rsid w:val="0079170C"/>
    <w:rsid w:val="007929FA"/>
    <w:rsid w:val="007A53F0"/>
    <w:rsid w:val="007A65BE"/>
    <w:rsid w:val="007B0A33"/>
    <w:rsid w:val="007B6BA5"/>
    <w:rsid w:val="007C0832"/>
    <w:rsid w:val="007C3390"/>
    <w:rsid w:val="007C4F4B"/>
    <w:rsid w:val="007C53E6"/>
    <w:rsid w:val="007C7292"/>
    <w:rsid w:val="007D05FD"/>
    <w:rsid w:val="007D2821"/>
    <w:rsid w:val="007D5D9C"/>
    <w:rsid w:val="007E158D"/>
    <w:rsid w:val="007E16F5"/>
    <w:rsid w:val="007E22B9"/>
    <w:rsid w:val="007E3229"/>
    <w:rsid w:val="007E38A4"/>
    <w:rsid w:val="007E3B19"/>
    <w:rsid w:val="007F5F81"/>
    <w:rsid w:val="007F6611"/>
    <w:rsid w:val="007F7862"/>
    <w:rsid w:val="0080010B"/>
    <w:rsid w:val="00800524"/>
    <w:rsid w:val="008015BF"/>
    <w:rsid w:val="00802224"/>
    <w:rsid w:val="008029D6"/>
    <w:rsid w:val="00813D73"/>
    <w:rsid w:val="00817E45"/>
    <w:rsid w:val="008242D7"/>
    <w:rsid w:val="00826954"/>
    <w:rsid w:val="008327F8"/>
    <w:rsid w:val="0083280C"/>
    <w:rsid w:val="00832D01"/>
    <w:rsid w:val="00836E12"/>
    <w:rsid w:val="008426AA"/>
    <w:rsid w:val="00845068"/>
    <w:rsid w:val="0084578B"/>
    <w:rsid w:val="0084795E"/>
    <w:rsid w:val="00847E45"/>
    <w:rsid w:val="0085060F"/>
    <w:rsid w:val="008524B5"/>
    <w:rsid w:val="00854701"/>
    <w:rsid w:val="00855656"/>
    <w:rsid w:val="00856743"/>
    <w:rsid w:val="00857894"/>
    <w:rsid w:val="00860734"/>
    <w:rsid w:val="00860942"/>
    <w:rsid w:val="0086430B"/>
    <w:rsid w:val="008727BF"/>
    <w:rsid w:val="00872AA4"/>
    <w:rsid w:val="00874728"/>
    <w:rsid w:val="00882E3F"/>
    <w:rsid w:val="00886D45"/>
    <w:rsid w:val="00892B68"/>
    <w:rsid w:val="0089684E"/>
    <w:rsid w:val="008979B1"/>
    <w:rsid w:val="008A0F8E"/>
    <w:rsid w:val="008A366F"/>
    <w:rsid w:val="008A6B25"/>
    <w:rsid w:val="008A6C4F"/>
    <w:rsid w:val="008B2335"/>
    <w:rsid w:val="008C46F0"/>
    <w:rsid w:val="008D15D6"/>
    <w:rsid w:val="008D407D"/>
    <w:rsid w:val="008D458B"/>
    <w:rsid w:val="008D7756"/>
    <w:rsid w:val="008E3876"/>
    <w:rsid w:val="008E585D"/>
    <w:rsid w:val="008F074D"/>
    <w:rsid w:val="008F4CAE"/>
    <w:rsid w:val="008F733A"/>
    <w:rsid w:val="008F7FC6"/>
    <w:rsid w:val="009017D4"/>
    <w:rsid w:val="00904F50"/>
    <w:rsid w:val="00913156"/>
    <w:rsid w:val="00913B02"/>
    <w:rsid w:val="0091633B"/>
    <w:rsid w:val="00917CC1"/>
    <w:rsid w:val="00917E8F"/>
    <w:rsid w:val="00920D6A"/>
    <w:rsid w:val="009223CA"/>
    <w:rsid w:val="00922461"/>
    <w:rsid w:val="00924D82"/>
    <w:rsid w:val="009311C8"/>
    <w:rsid w:val="009317E6"/>
    <w:rsid w:val="00932244"/>
    <w:rsid w:val="009368E4"/>
    <w:rsid w:val="009369F6"/>
    <w:rsid w:val="00940F93"/>
    <w:rsid w:val="00941EA5"/>
    <w:rsid w:val="0094204E"/>
    <w:rsid w:val="0094653E"/>
    <w:rsid w:val="0094662C"/>
    <w:rsid w:val="009603EF"/>
    <w:rsid w:val="00961987"/>
    <w:rsid w:val="00970EBE"/>
    <w:rsid w:val="00972069"/>
    <w:rsid w:val="00972802"/>
    <w:rsid w:val="00976D64"/>
    <w:rsid w:val="00977B84"/>
    <w:rsid w:val="0098333D"/>
    <w:rsid w:val="00992225"/>
    <w:rsid w:val="00993F6E"/>
    <w:rsid w:val="00994297"/>
    <w:rsid w:val="009A278C"/>
    <w:rsid w:val="009A4401"/>
    <w:rsid w:val="009A468E"/>
    <w:rsid w:val="009A4CD6"/>
    <w:rsid w:val="009A4F97"/>
    <w:rsid w:val="009A774B"/>
    <w:rsid w:val="009B1DF1"/>
    <w:rsid w:val="009B4446"/>
    <w:rsid w:val="009B4A1B"/>
    <w:rsid w:val="009B502C"/>
    <w:rsid w:val="009C064E"/>
    <w:rsid w:val="009C0EE8"/>
    <w:rsid w:val="009C14AA"/>
    <w:rsid w:val="009C5BB4"/>
    <w:rsid w:val="009D42FA"/>
    <w:rsid w:val="009D729D"/>
    <w:rsid w:val="009E22A0"/>
    <w:rsid w:val="009E3DA5"/>
    <w:rsid w:val="009E436C"/>
    <w:rsid w:val="009E6D4E"/>
    <w:rsid w:val="009F27C0"/>
    <w:rsid w:val="00A0011D"/>
    <w:rsid w:val="00A01489"/>
    <w:rsid w:val="00A03B30"/>
    <w:rsid w:val="00A0492E"/>
    <w:rsid w:val="00A052C0"/>
    <w:rsid w:val="00A1505C"/>
    <w:rsid w:val="00A23F1C"/>
    <w:rsid w:val="00A31644"/>
    <w:rsid w:val="00A32AE8"/>
    <w:rsid w:val="00A345ED"/>
    <w:rsid w:val="00A41C20"/>
    <w:rsid w:val="00A438BD"/>
    <w:rsid w:val="00A5274B"/>
    <w:rsid w:val="00A577EB"/>
    <w:rsid w:val="00A60D82"/>
    <w:rsid w:val="00A61CCD"/>
    <w:rsid w:val="00A72905"/>
    <w:rsid w:val="00A72F22"/>
    <w:rsid w:val="00A73033"/>
    <w:rsid w:val="00A748A6"/>
    <w:rsid w:val="00A77600"/>
    <w:rsid w:val="00A776B4"/>
    <w:rsid w:val="00A77CC7"/>
    <w:rsid w:val="00A873BA"/>
    <w:rsid w:val="00A90935"/>
    <w:rsid w:val="00A92BF8"/>
    <w:rsid w:val="00A94361"/>
    <w:rsid w:val="00A966F7"/>
    <w:rsid w:val="00A96CC3"/>
    <w:rsid w:val="00AA077F"/>
    <w:rsid w:val="00AA26CB"/>
    <w:rsid w:val="00AA56E6"/>
    <w:rsid w:val="00AA5F10"/>
    <w:rsid w:val="00AA5F9A"/>
    <w:rsid w:val="00AC05F0"/>
    <w:rsid w:val="00AC0D9E"/>
    <w:rsid w:val="00AC1552"/>
    <w:rsid w:val="00AD721A"/>
    <w:rsid w:val="00AF0FBA"/>
    <w:rsid w:val="00AF1DF7"/>
    <w:rsid w:val="00AF6F79"/>
    <w:rsid w:val="00AF7097"/>
    <w:rsid w:val="00B02F69"/>
    <w:rsid w:val="00B04F43"/>
    <w:rsid w:val="00B0672D"/>
    <w:rsid w:val="00B06775"/>
    <w:rsid w:val="00B17327"/>
    <w:rsid w:val="00B21FD8"/>
    <w:rsid w:val="00B22AA7"/>
    <w:rsid w:val="00B257AC"/>
    <w:rsid w:val="00B25E92"/>
    <w:rsid w:val="00B30179"/>
    <w:rsid w:val="00B30AAA"/>
    <w:rsid w:val="00B32CAC"/>
    <w:rsid w:val="00B33336"/>
    <w:rsid w:val="00B33B7C"/>
    <w:rsid w:val="00B34922"/>
    <w:rsid w:val="00B350E0"/>
    <w:rsid w:val="00B354BD"/>
    <w:rsid w:val="00B40DC8"/>
    <w:rsid w:val="00B4639B"/>
    <w:rsid w:val="00B47289"/>
    <w:rsid w:val="00B474E7"/>
    <w:rsid w:val="00B554A6"/>
    <w:rsid w:val="00B56E9C"/>
    <w:rsid w:val="00B643DA"/>
    <w:rsid w:val="00B64B1F"/>
    <w:rsid w:val="00B6553F"/>
    <w:rsid w:val="00B70375"/>
    <w:rsid w:val="00B75015"/>
    <w:rsid w:val="00B8051F"/>
    <w:rsid w:val="00B81E12"/>
    <w:rsid w:val="00B82C18"/>
    <w:rsid w:val="00B834DE"/>
    <w:rsid w:val="00B8679F"/>
    <w:rsid w:val="00B91CA6"/>
    <w:rsid w:val="00B92388"/>
    <w:rsid w:val="00B93F04"/>
    <w:rsid w:val="00B97178"/>
    <w:rsid w:val="00BA1659"/>
    <w:rsid w:val="00BA43C6"/>
    <w:rsid w:val="00BA58E6"/>
    <w:rsid w:val="00BB3D47"/>
    <w:rsid w:val="00BB5687"/>
    <w:rsid w:val="00BB7153"/>
    <w:rsid w:val="00BC63C8"/>
    <w:rsid w:val="00BC74E9"/>
    <w:rsid w:val="00BD52A7"/>
    <w:rsid w:val="00BD6E22"/>
    <w:rsid w:val="00BE04CC"/>
    <w:rsid w:val="00BE0BAD"/>
    <w:rsid w:val="00BE423B"/>
    <w:rsid w:val="00BE5F9C"/>
    <w:rsid w:val="00BF02C6"/>
    <w:rsid w:val="00BF15DE"/>
    <w:rsid w:val="00BF1D70"/>
    <w:rsid w:val="00BF1EF5"/>
    <w:rsid w:val="00BF42E6"/>
    <w:rsid w:val="00BF4A42"/>
    <w:rsid w:val="00BF5DF4"/>
    <w:rsid w:val="00BF63E2"/>
    <w:rsid w:val="00BF68A8"/>
    <w:rsid w:val="00C01051"/>
    <w:rsid w:val="00C1173D"/>
    <w:rsid w:val="00C11868"/>
    <w:rsid w:val="00C12EA1"/>
    <w:rsid w:val="00C24A7B"/>
    <w:rsid w:val="00C279B2"/>
    <w:rsid w:val="00C3206E"/>
    <w:rsid w:val="00C329B7"/>
    <w:rsid w:val="00C3329E"/>
    <w:rsid w:val="00C36EFE"/>
    <w:rsid w:val="00C432C0"/>
    <w:rsid w:val="00C43ADF"/>
    <w:rsid w:val="00C463DD"/>
    <w:rsid w:val="00C4724C"/>
    <w:rsid w:val="00C475AB"/>
    <w:rsid w:val="00C53A77"/>
    <w:rsid w:val="00C54556"/>
    <w:rsid w:val="00C5618F"/>
    <w:rsid w:val="00C61C58"/>
    <w:rsid w:val="00C61C68"/>
    <w:rsid w:val="00C61EF8"/>
    <w:rsid w:val="00C629A0"/>
    <w:rsid w:val="00C63691"/>
    <w:rsid w:val="00C66CE1"/>
    <w:rsid w:val="00C745C3"/>
    <w:rsid w:val="00C75FB9"/>
    <w:rsid w:val="00C86C55"/>
    <w:rsid w:val="00C904B4"/>
    <w:rsid w:val="00CA1300"/>
    <w:rsid w:val="00CB053D"/>
    <w:rsid w:val="00CB5278"/>
    <w:rsid w:val="00CB5B3B"/>
    <w:rsid w:val="00CC00AC"/>
    <w:rsid w:val="00CC24D2"/>
    <w:rsid w:val="00CC2EAE"/>
    <w:rsid w:val="00CC3A7A"/>
    <w:rsid w:val="00CD2BB1"/>
    <w:rsid w:val="00CD39E6"/>
    <w:rsid w:val="00CE4A8F"/>
    <w:rsid w:val="00CF3164"/>
    <w:rsid w:val="00CF3794"/>
    <w:rsid w:val="00CF45F4"/>
    <w:rsid w:val="00D026CF"/>
    <w:rsid w:val="00D0495C"/>
    <w:rsid w:val="00D049D8"/>
    <w:rsid w:val="00D14C5D"/>
    <w:rsid w:val="00D2031B"/>
    <w:rsid w:val="00D20439"/>
    <w:rsid w:val="00D205D4"/>
    <w:rsid w:val="00D20610"/>
    <w:rsid w:val="00D218CB"/>
    <w:rsid w:val="00D23477"/>
    <w:rsid w:val="00D25FE2"/>
    <w:rsid w:val="00D27793"/>
    <w:rsid w:val="00D332F1"/>
    <w:rsid w:val="00D340F9"/>
    <w:rsid w:val="00D34814"/>
    <w:rsid w:val="00D34910"/>
    <w:rsid w:val="00D3540E"/>
    <w:rsid w:val="00D43252"/>
    <w:rsid w:val="00D473DF"/>
    <w:rsid w:val="00D50BE3"/>
    <w:rsid w:val="00D51E7F"/>
    <w:rsid w:val="00D529A6"/>
    <w:rsid w:val="00D53F62"/>
    <w:rsid w:val="00D612DA"/>
    <w:rsid w:val="00D64C7B"/>
    <w:rsid w:val="00D6746B"/>
    <w:rsid w:val="00D74737"/>
    <w:rsid w:val="00D7767E"/>
    <w:rsid w:val="00D814D7"/>
    <w:rsid w:val="00D81BC9"/>
    <w:rsid w:val="00D93CC8"/>
    <w:rsid w:val="00D9415B"/>
    <w:rsid w:val="00D9617D"/>
    <w:rsid w:val="00D978C6"/>
    <w:rsid w:val="00DA0A43"/>
    <w:rsid w:val="00DA30C6"/>
    <w:rsid w:val="00DA3C1C"/>
    <w:rsid w:val="00DB632A"/>
    <w:rsid w:val="00DC0D16"/>
    <w:rsid w:val="00DC17FA"/>
    <w:rsid w:val="00DC2FAD"/>
    <w:rsid w:val="00DC5BCC"/>
    <w:rsid w:val="00DC7EEB"/>
    <w:rsid w:val="00DD00FE"/>
    <w:rsid w:val="00DD173D"/>
    <w:rsid w:val="00DE0B94"/>
    <w:rsid w:val="00DE4C63"/>
    <w:rsid w:val="00DF13E2"/>
    <w:rsid w:val="00DF2C8A"/>
    <w:rsid w:val="00DF3647"/>
    <w:rsid w:val="00E109FB"/>
    <w:rsid w:val="00E14C80"/>
    <w:rsid w:val="00E26F83"/>
    <w:rsid w:val="00E3073E"/>
    <w:rsid w:val="00E314EF"/>
    <w:rsid w:val="00E33059"/>
    <w:rsid w:val="00E33137"/>
    <w:rsid w:val="00E33C70"/>
    <w:rsid w:val="00E33F3A"/>
    <w:rsid w:val="00E34E13"/>
    <w:rsid w:val="00E35D66"/>
    <w:rsid w:val="00E367CE"/>
    <w:rsid w:val="00E4093D"/>
    <w:rsid w:val="00E42FBC"/>
    <w:rsid w:val="00E45D67"/>
    <w:rsid w:val="00E51344"/>
    <w:rsid w:val="00E51744"/>
    <w:rsid w:val="00E52D4B"/>
    <w:rsid w:val="00E55619"/>
    <w:rsid w:val="00E57535"/>
    <w:rsid w:val="00E63389"/>
    <w:rsid w:val="00E66BB6"/>
    <w:rsid w:val="00E677C9"/>
    <w:rsid w:val="00E716A3"/>
    <w:rsid w:val="00E71BC8"/>
    <w:rsid w:val="00E7260F"/>
    <w:rsid w:val="00E74779"/>
    <w:rsid w:val="00E74E3F"/>
    <w:rsid w:val="00E755AA"/>
    <w:rsid w:val="00E76EB3"/>
    <w:rsid w:val="00E77091"/>
    <w:rsid w:val="00E80D2A"/>
    <w:rsid w:val="00E82F52"/>
    <w:rsid w:val="00E851FB"/>
    <w:rsid w:val="00E90E4B"/>
    <w:rsid w:val="00E96630"/>
    <w:rsid w:val="00E96D42"/>
    <w:rsid w:val="00EA1C9C"/>
    <w:rsid w:val="00EA3078"/>
    <w:rsid w:val="00EA3227"/>
    <w:rsid w:val="00EA4F64"/>
    <w:rsid w:val="00EA530A"/>
    <w:rsid w:val="00EB2708"/>
    <w:rsid w:val="00EC0DA7"/>
    <w:rsid w:val="00EC121C"/>
    <w:rsid w:val="00EC25B6"/>
    <w:rsid w:val="00EC687C"/>
    <w:rsid w:val="00ED32A3"/>
    <w:rsid w:val="00ED4A57"/>
    <w:rsid w:val="00ED616A"/>
    <w:rsid w:val="00ED6598"/>
    <w:rsid w:val="00ED7A2A"/>
    <w:rsid w:val="00EF1D7F"/>
    <w:rsid w:val="00EF5E90"/>
    <w:rsid w:val="00EF69B3"/>
    <w:rsid w:val="00F0552B"/>
    <w:rsid w:val="00F059C1"/>
    <w:rsid w:val="00F07AE5"/>
    <w:rsid w:val="00F117D0"/>
    <w:rsid w:val="00F21581"/>
    <w:rsid w:val="00F24ACC"/>
    <w:rsid w:val="00F24C91"/>
    <w:rsid w:val="00F2605E"/>
    <w:rsid w:val="00F34583"/>
    <w:rsid w:val="00F44A74"/>
    <w:rsid w:val="00F44DFE"/>
    <w:rsid w:val="00F504DF"/>
    <w:rsid w:val="00F51AFE"/>
    <w:rsid w:val="00F62A0C"/>
    <w:rsid w:val="00F6324D"/>
    <w:rsid w:val="00F67689"/>
    <w:rsid w:val="00F7572B"/>
    <w:rsid w:val="00F75E58"/>
    <w:rsid w:val="00F878BD"/>
    <w:rsid w:val="00F92CA5"/>
    <w:rsid w:val="00F93EFC"/>
    <w:rsid w:val="00F9760B"/>
    <w:rsid w:val="00FA271C"/>
    <w:rsid w:val="00FA27C5"/>
    <w:rsid w:val="00FA45B3"/>
    <w:rsid w:val="00FA47EE"/>
    <w:rsid w:val="00FA7BE0"/>
    <w:rsid w:val="00FB151C"/>
    <w:rsid w:val="00FB1572"/>
    <w:rsid w:val="00FB1CED"/>
    <w:rsid w:val="00FB45DC"/>
    <w:rsid w:val="00FB568C"/>
    <w:rsid w:val="00FB7C9B"/>
    <w:rsid w:val="00FB7F97"/>
    <w:rsid w:val="00FC397E"/>
    <w:rsid w:val="00FC68B7"/>
    <w:rsid w:val="00FC6B25"/>
    <w:rsid w:val="00FD0CD8"/>
    <w:rsid w:val="00FD44C4"/>
    <w:rsid w:val="00FE33FE"/>
    <w:rsid w:val="00FE3DC0"/>
    <w:rsid w:val="00FF0684"/>
    <w:rsid w:val="00FF074D"/>
    <w:rsid w:val="00FF7D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650"/>
    <w:pPr>
      <w:suppressAutoHyphens/>
      <w:spacing w:line="240" w:lineRule="atLeast"/>
    </w:pPr>
    <w:rPr>
      <w:lang w:val="en-GB"/>
    </w:rPr>
  </w:style>
  <w:style w:type="paragraph" w:styleId="Heading1">
    <w:name w:val="heading 1"/>
    <w:aliases w:val="Table_G"/>
    <w:basedOn w:val="SingleTxtG"/>
    <w:next w:val="SingleTxtG"/>
    <w:qFormat/>
    <w:rsid w:val="00523650"/>
    <w:pPr>
      <w:spacing w:after="0" w:line="240" w:lineRule="auto"/>
      <w:ind w:right="0"/>
      <w:jc w:val="left"/>
      <w:outlineLvl w:val="0"/>
    </w:pPr>
  </w:style>
  <w:style w:type="paragraph" w:styleId="Heading2">
    <w:name w:val="heading 2"/>
    <w:basedOn w:val="Normal"/>
    <w:next w:val="Normal"/>
    <w:qFormat/>
    <w:rsid w:val="00523650"/>
    <w:pPr>
      <w:spacing w:line="240" w:lineRule="auto"/>
      <w:outlineLvl w:val="1"/>
    </w:pPr>
  </w:style>
  <w:style w:type="paragraph" w:styleId="Heading3">
    <w:name w:val="heading 3"/>
    <w:basedOn w:val="Normal"/>
    <w:next w:val="Normal"/>
    <w:qFormat/>
    <w:rsid w:val="00523650"/>
    <w:pPr>
      <w:spacing w:line="240" w:lineRule="auto"/>
      <w:outlineLvl w:val="2"/>
    </w:pPr>
  </w:style>
  <w:style w:type="paragraph" w:styleId="Heading4">
    <w:name w:val="heading 4"/>
    <w:basedOn w:val="Normal"/>
    <w:next w:val="Normal"/>
    <w:qFormat/>
    <w:rsid w:val="00523650"/>
    <w:pPr>
      <w:spacing w:line="240" w:lineRule="auto"/>
      <w:outlineLvl w:val="3"/>
    </w:pPr>
  </w:style>
  <w:style w:type="paragraph" w:styleId="Heading5">
    <w:name w:val="heading 5"/>
    <w:basedOn w:val="Normal"/>
    <w:next w:val="Normal"/>
    <w:qFormat/>
    <w:rsid w:val="00523650"/>
    <w:pPr>
      <w:spacing w:line="240" w:lineRule="auto"/>
      <w:outlineLvl w:val="4"/>
    </w:pPr>
  </w:style>
  <w:style w:type="paragraph" w:styleId="Heading6">
    <w:name w:val="heading 6"/>
    <w:basedOn w:val="Normal"/>
    <w:next w:val="Normal"/>
    <w:qFormat/>
    <w:rsid w:val="00523650"/>
    <w:pPr>
      <w:spacing w:line="240" w:lineRule="auto"/>
      <w:outlineLvl w:val="5"/>
    </w:pPr>
  </w:style>
  <w:style w:type="paragraph" w:styleId="Heading7">
    <w:name w:val="heading 7"/>
    <w:basedOn w:val="Normal"/>
    <w:next w:val="Normal"/>
    <w:qFormat/>
    <w:rsid w:val="00523650"/>
    <w:pPr>
      <w:spacing w:line="240" w:lineRule="auto"/>
      <w:outlineLvl w:val="6"/>
    </w:pPr>
  </w:style>
  <w:style w:type="paragraph" w:styleId="Heading8">
    <w:name w:val="heading 8"/>
    <w:basedOn w:val="Normal"/>
    <w:next w:val="Normal"/>
    <w:qFormat/>
    <w:rsid w:val="00523650"/>
    <w:pPr>
      <w:spacing w:line="240" w:lineRule="auto"/>
      <w:outlineLvl w:val="7"/>
    </w:pPr>
  </w:style>
  <w:style w:type="paragraph" w:styleId="Heading9">
    <w:name w:val="heading 9"/>
    <w:basedOn w:val="Normal"/>
    <w:next w:val="Normal"/>
    <w:qFormat/>
    <w:rsid w:val="00523650"/>
    <w:pPr>
      <w:spacing w:line="240" w:lineRule="auto"/>
      <w:outlineLvl w:val="8"/>
    </w:pPr>
  </w:style>
  <w:style w:type="character" w:default="1" w:styleId="DefaultParagraphFont">
    <w:name w:val="Default Paragraph Font"/>
    <w:semiHidden/>
    <w:rsid w:val="0052365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23650"/>
  </w:style>
  <w:style w:type="paragraph" w:customStyle="1" w:styleId="SingleTxtG">
    <w:name w:val="_ Single Txt_G"/>
    <w:basedOn w:val="Normal"/>
    <w:link w:val="SingleTxtGChar1"/>
    <w:rsid w:val="00523650"/>
    <w:pPr>
      <w:spacing w:after="120"/>
      <w:ind w:left="1134" w:right="1134"/>
      <w:jc w:val="both"/>
    </w:pPr>
  </w:style>
  <w:style w:type="paragraph" w:customStyle="1" w:styleId="HMG">
    <w:name w:val="_ H __M_G"/>
    <w:basedOn w:val="Normal"/>
    <w:next w:val="Normal"/>
    <w:rsid w:val="00523650"/>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23650"/>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rsid w:val="00523650"/>
    <w:rPr>
      <w:rFonts w:ascii="Times New Roman" w:hAnsi="Times New Roman"/>
      <w:sz w:val="18"/>
      <w:vertAlign w:val="superscript"/>
    </w:rPr>
  </w:style>
  <w:style w:type="character" w:styleId="EndnoteReference">
    <w:name w:val="endnote reference"/>
    <w:aliases w:val="1_G"/>
    <w:basedOn w:val="FootnoteReference"/>
    <w:rsid w:val="00523650"/>
  </w:style>
  <w:style w:type="paragraph" w:styleId="Header">
    <w:name w:val="header"/>
    <w:aliases w:val="6_G"/>
    <w:basedOn w:val="Normal"/>
    <w:rsid w:val="00523650"/>
    <w:pPr>
      <w:pBdr>
        <w:bottom w:val="single" w:sz="4" w:space="4" w:color="auto"/>
      </w:pBdr>
      <w:spacing w:line="240" w:lineRule="auto"/>
    </w:pPr>
    <w:rPr>
      <w:b/>
      <w:sz w:val="18"/>
    </w:rPr>
  </w:style>
  <w:style w:type="table" w:styleId="TableGrid">
    <w:name w:val="Table Grid"/>
    <w:basedOn w:val="TableNormal"/>
    <w:semiHidden/>
    <w:rsid w:val="00523650"/>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semiHidden/>
    <w:rsid w:val="00523650"/>
    <w:rPr>
      <w:color w:val="auto"/>
      <w:u w:val="none"/>
    </w:rPr>
  </w:style>
  <w:style w:type="character" w:styleId="FollowedHyperlink">
    <w:name w:val="FollowedHyperlink"/>
    <w:basedOn w:val="DefaultParagraphFont"/>
    <w:semiHidden/>
    <w:rsid w:val="00523650"/>
    <w:rPr>
      <w:color w:val="auto"/>
      <w:u w:val="none"/>
    </w:rPr>
  </w:style>
  <w:style w:type="paragraph" w:customStyle="1" w:styleId="SMG">
    <w:name w:val="__S_M_G"/>
    <w:basedOn w:val="Normal"/>
    <w:next w:val="Normal"/>
    <w:rsid w:val="00523650"/>
    <w:pPr>
      <w:keepNext/>
      <w:keepLines/>
      <w:spacing w:before="240" w:after="240" w:line="420" w:lineRule="exact"/>
      <w:ind w:left="1134" w:right="1134"/>
    </w:pPr>
    <w:rPr>
      <w:b/>
      <w:sz w:val="40"/>
    </w:rPr>
  </w:style>
  <w:style w:type="paragraph" w:customStyle="1" w:styleId="SLG">
    <w:name w:val="__S_L_G"/>
    <w:basedOn w:val="Normal"/>
    <w:next w:val="Normal"/>
    <w:rsid w:val="00523650"/>
    <w:pPr>
      <w:keepNext/>
      <w:keepLines/>
      <w:spacing w:before="240" w:after="240" w:line="580" w:lineRule="exact"/>
      <w:ind w:left="1134" w:right="1134"/>
    </w:pPr>
    <w:rPr>
      <w:b/>
      <w:sz w:val="56"/>
    </w:rPr>
  </w:style>
  <w:style w:type="paragraph" w:customStyle="1" w:styleId="SSG">
    <w:name w:val="__S_S_G"/>
    <w:basedOn w:val="Normal"/>
    <w:next w:val="Normal"/>
    <w:rsid w:val="00523650"/>
    <w:pPr>
      <w:keepNext/>
      <w:keepLines/>
      <w:spacing w:before="240" w:after="240" w:line="300" w:lineRule="exact"/>
      <w:ind w:left="1134" w:right="1134"/>
    </w:pPr>
    <w:rPr>
      <w:b/>
      <w:sz w:val="28"/>
    </w:rPr>
  </w:style>
  <w:style w:type="paragraph" w:styleId="FootnoteText">
    <w:name w:val="footnote text"/>
    <w:aliases w:val="5_G"/>
    <w:basedOn w:val="Normal"/>
    <w:rsid w:val="00523650"/>
    <w:pPr>
      <w:tabs>
        <w:tab w:val="right" w:pos="1021"/>
      </w:tabs>
      <w:spacing w:line="220" w:lineRule="exact"/>
      <w:ind w:left="1134" w:right="1134" w:hanging="1134"/>
    </w:pPr>
    <w:rPr>
      <w:sz w:val="18"/>
    </w:rPr>
  </w:style>
  <w:style w:type="paragraph" w:styleId="EndnoteText">
    <w:name w:val="endnote text"/>
    <w:aliases w:val="2_G"/>
    <w:basedOn w:val="FootnoteText"/>
    <w:rsid w:val="00523650"/>
  </w:style>
  <w:style w:type="character" w:styleId="PageNumber">
    <w:name w:val="page number"/>
    <w:aliases w:val="7_G"/>
    <w:basedOn w:val="DefaultParagraphFont"/>
    <w:rsid w:val="00523650"/>
    <w:rPr>
      <w:rFonts w:ascii="Times New Roman" w:hAnsi="Times New Roman"/>
      <w:b/>
      <w:sz w:val="18"/>
    </w:rPr>
  </w:style>
  <w:style w:type="paragraph" w:customStyle="1" w:styleId="XLargeG">
    <w:name w:val="__XLarge_G"/>
    <w:basedOn w:val="Normal"/>
    <w:next w:val="Normal"/>
    <w:rsid w:val="00523650"/>
    <w:pPr>
      <w:keepNext/>
      <w:keepLines/>
      <w:spacing w:before="240" w:after="240" w:line="420" w:lineRule="exact"/>
      <w:ind w:left="1134" w:right="1134"/>
    </w:pPr>
    <w:rPr>
      <w:b/>
      <w:sz w:val="40"/>
    </w:rPr>
  </w:style>
  <w:style w:type="paragraph" w:customStyle="1" w:styleId="Bullet1G">
    <w:name w:val="_Bullet 1_G"/>
    <w:basedOn w:val="Normal"/>
    <w:rsid w:val="00523650"/>
    <w:pPr>
      <w:numPr>
        <w:numId w:val="1"/>
      </w:numPr>
      <w:spacing w:after="120"/>
      <w:ind w:right="1134"/>
      <w:jc w:val="both"/>
    </w:pPr>
  </w:style>
  <w:style w:type="paragraph" w:styleId="Footer">
    <w:name w:val="footer"/>
    <w:aliases w:val="3_G"/>
    <w:basedOn w:val="Normal"/>
    <w:rsid w:val="00523650"/>
    <w:pPr>
      <w:spacing w:line="240" w:lineRule="auto"/>
    </w:pPr>
    <w:rPr>
      <w:sz w:val="16"/>
    </w:rPr>
  </w:style>
  <w:style w:type="paragraph" w:customStyle="1" w:styleId="Bullet2G">
    <w:name w:val="_Bullet 2_G"/>
    <w:basedOn w:val="Normal"/>
    <w:rsid w:val="00523650"/>
    <w:pPr>
      <w:numPr>
        <w:numId w:val="2"/>
      </w:numPr>
      <w:spacing w:after="120"/>
      <w:ind w:right="1134"/>
      <w:jc w:val="both"/>
    </w:pPr>
  </w:style>
  <w:style w:type="paragraph" w:customStyle="1" w:styleId="H1G">
    <w:name w:val="_ H_1_G"/>
    <w:basedOn w:val="Normal"/>
    <w:next w:val="Normal"/>
    <w:rsid w:val="00523650"/>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23650"/>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23650"/>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23650"/>
    <w:pPr>
      <w:keepNext/>
      <w:keepLines/>
      <w:tabs>
        <w:tab w:val="right" w:pos="851"/>
      </w:tabs>
      <w:spacing w:before="240" w:after="120" w:line="240" w:lineRule="exact"/>
      <w:ind w:left="1134" w:right="1134" w:hanging="1134"/>
    </w:pPr>
  </w:style>
  <w:style w:type="paragraph" w:customStyle="1" w:styleId="Default">
    <w:name w:val="Default"/>
    <w:rsid w:val="00FE33FE"/>
    <w:pPr>
      <w:autoSpaceDE w:val="0"/>
      <w:autoSpaceDN w:val="0"/>
      <w:adjustRightInd w:val="0"/>
    </w:pPr>
    <w:rPr>
      <w:rFonts w:eastAsia="SimSun"/>
      <w:color w:val="000000"/>
      <w:sz w:val="24"/>
      <w:szCs w:val="24"/>
      <w:lang w:eastAsia="zh-CN"/>
    </w:rPr>
  </w:style>
  <w:style w:type="paragraph" w:customStyle="1" w:styleId="ParaNo">
    <w:name w:val="ParaNo."/>
    <w:basedOn w:val="Normal"/>
    <w:rsid w:val="00236865"/>
    <w:pPr>
      <w:numPr>
        <w:ilvl w:val="1"/>
        <w:numId w:val="3"/>
      </w:numPr>
      <w:suppressAutoHyphens w:val="0"/>
      <w:spacing w:after="240" w:line="240" w:lineRule="auto"/>
    </w:pPr>
    <w:rPr>
      <w:sz w:val="24"/>
    </w:rPr>
  </w:style>
  <w:style w:type="character" w:styleId="Strong">
    <w:name w:val="Strong"/>
    <w:basedOn w:val="DefaultParagraphFont"/>
    <w:qFormat/>
    <w:rsid w:val="007C7292"/>
    <w:rPr>
      <w:b/>
      <w:bCs/>
    </w:rPr>
  </w:style>
  <w:style w:type="character" w:customStyle="1" w:styleId="SingleTxtGChar1">
    <w:name w:val="_ Single Txt_G Char1"/>
    <w:link w:val="SingleTxtG"/>
    <w:rsid w:val="00562DC6"/>
    <w:rPr>
      <w:lang w:val="en-GB" w:eastAsia="en-US" w:bidi="ar-SA"/>
    </w:rPr>
  </w:style>
  <w:style w:type="paragraph" w:styleId="BalloonText">
    <w:name w:val="Balloon Text"/>
    <w:basedOn w:val="Normal"/>
    <w:semiHidden/>
    <w:rsid w:val="006E3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ventions.coe.int/Treaty/Commun/QueVoulezVous.asp?NT=197&amp;CM=2&amp;DF=28/07/2005&amp;CL=E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UN%20Docs\temp\CERD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CERD_E</Template>
  <TotalTime>0</TotalTime>
  <Pages>10</Pages>
  <Words>4675</Words>
  <Characters>26649</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CERD/C/IRL/CO/3-4/CRP</vt:lpstr>
    </vt:vector>
  </TitlesOfParts>
  <Company>CSD</Company>
  <LinksUpToDate>false</LinksUpToDate>
  <CharactersWithSpaces>31262</CharactersWithSpaces>
  <SharedDoc>false</SharedDoc>
  <HLinks>
    <vt:vector size="6" baseType="variant">
      <vt:variant>
        <vt:i4>3014768</vt:i4>
      </vt:variant>
      <vt:variant>
        <vt:i4>0</vt:i4>
      </vt:variant>
      <vt:variant>
        <vt:i4>0</vt:i4>
      </vt:variant>
      <vt:variant>
        <vt:i4>5</vt:i4>
      </vt:variant>
      <vt:variant>
        <vt:lpwstr>http://conventions.coe.int/Treaty/Commun/QueVoulezVous.asp?NT=197&amp;CM=2&amp;DF=28/07/2005&amp;CL=ENG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CERD/C/IRL/CO/3-4/CRP</dc:title>
  <dc:subject/>
  <dc:creator>OHCHR</dc:creator>
  <cp:keywords/>
  <dc:description/>
  <cp:lastModifiedBy>deirdre.duffy</cp:lastModifiedBy>
  <cp:revision>2</cp:revision>
  <cp:lastPrinted>2011-06-03T09:41:00Z</cp:lastPrinted>
  <dcterms:created xsi:type="dcterms:W3CDTF">2011-06-06T07:20:00Z</dcterms:created>
  <dcterms:modified xsi:type="dcterms:W3CDTF">2011-06-06T07:20:00Z</dcterms:modified>
</cp:coreProperties>
</file>